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4ee6d0185d0942eb885bb5dffc93cfece1cc48"/>
    <w:p>
      <w:pPr>
        <w:pStyle w:val="Heading1"/>
      </w:pPr>
      <w:r>
        <w:t xml:space="preserve">Statut Fundacji Konstela - szkielet do konsultacji</w:t>
      </w:r>
    </w:p>
    <w:p>
      <w:pPr>
        <w:pStyle w:val="BlockText"/>
      </w:pPr>
      <w:r>
        <w:rPr>
          <w:bCs/>
          <w:b/>
        </w:rPr>
        <w:t xml:space="preserve">To jest projekt roboczy napisany przez fundatora, nie przez prawnika.</w:t>
      </w:r>
      <w:r>
        <w:t xml:space="preserve"> </w:t>
      </w:r>
      <w:r>
        <w:t xml:space="preserve">Powstał po to, aby kancelaria i notariusz</w:t>
      </w:r>
      <w:r>
        <w:t xml:space="preserve"> </w:t>
      </w:r>
      <w:r>
        <w:rPr>
          <w:bCs/>
          <w:b/>
        </w:rPr>
        <w:t xml:space="preserve">sprawdzali, zamiast pisać od zera</w:t>
      </w:r>
      <w:r>
        <w:t xml:space="preserve"> </w:t>
      </w:r>
      <w:r>
        <w:t xml:space="preserve">- co skraca czas i obniża wycenę. Miejsca wymagające decyzji oznaczono jako</w:t>
      </w:r>
      <w:r>
        <w:t xml:space="preserve"> </w:t>
      </w:r>
      <w:r>
        <w:rPr>
          <w:rStyle w:val="VerbatimChar"/>
        </w:rPr>
        <w:t xml:space="preserve">[DO USTALENIA]</w:t>
      </w:r>
      <w:r>
        <w:t xml:space="preserve">, a wymagające opinii prawnej jako</w:t>
      </w:r>
      <w:r>
        <w:t xml:space="preserve"> </w:t>
      </w:r>
      <w:r>
        <w:rPr>
          <w:rStyle w:val="VerbatimChar"/>
        </w:rPr>
        <w:t xml:space="preserve">[DO SPRAWDZENIA]</w:t>
      </w:r>
      <w:r>
        <w:t xml:space="preserve">. Przed podpisaniem aktu notarialnego dokument musi przejrzeć prawnik oraz księgowy.</w:t>
      </w:r>
    </w:p>
    <w:p>
      <w:pPr>
        <w:pStyle w:val="FirstParagraph"/>
      </w:pPr>
      <w:r>
        <w:rPr>
          <w:bCs/>
          <w:b/>
        </w:rPr>
        <w:t xml:space="preserve">Stan decyzji na 22.10.2026:</w:t>
      </w:r>
      <w:r>
        <w:t xml:space="preserve"> </w:t>
      </w:r>
      <w:r>
        <w:t xml:space="preserve">fundatorem jest Krzysztof Olbiński; organem nadzoru zewnętrznego ma być Minister Cyfryzacji; działalność gospodarcza wchodzi do statutu niezależnie od odpowiedzi wydawców (decyzja z 21.10.2026); organami są Zarząd i Rada Fundacji, przy czym Rada reprezentuje Fundację wobec członków Zarządu.</w:t>
      </w:r>
    </w:p>
    <w:p>
      <w:r>
        <w:pict>
          <v:rect style="width:0;height:1.5pt" o:hralign="center" o:hrstd="t" o:hr="t"/>
        </w:pict>
      </w:r>
    </w:p>
    <w:bookmarkStart w:id="20" w:name="rozdział-i.-postanowienia-ogólne"/>
    <w:p>
      <w:pPr>
        <w:pStyle w:val="Heading2"/>
      </w:pPr>
      <w:r>
        <w:t xml:space="preserve">Rozdział I. Postanowienia ogólne</w:t>
      </w:r>
    </w:p>
    <w:p>
      <w:pPr>
        <w:pStyle w:val="FirstParagraph"/>
      </w:pPr>
      <w:r>
        <w:rPr>
          <w:bCs/>
          <w:b/>
        </w:rPr>
        <w:t xml:space="preserve">§ 1.</w:t>
      </w:r>
      <w:r>
        <w:t xml:space="preserve"> </w:t>
      </w:r>
      <w:r>
        <w:t xml:space="preserve">Fundacja pod nazwą</w:t>
      </w:r>
      <w:r>
        <w:t xml:space="preserve"> </w:t>
      </w:r>
      <w:r>
        <w:rPr>
          <w:bCs/>
          <w:b/>
        </w:rPr>
        <w:t xml:space="preserve">Fundacja Konstela</w:t>
      </w:r>
      <w:r>
        <w:t xml:space="preserve">, zwana dalej „Fundacją”, została ustanowiona przez</w:t>
      </w:r>
      <w:r>
        <w:t xml:space="preserve"> </w:t>
      </w:r>
      <w:r>
        <w:rPr>
          <w:bCs/>
          <w:b/>
        </w:rPr>
        <w:t xml:space="preserve">Krzysztofa Olbińskiego</w:t>
      </w:r>
      <w:r>
        <w:t xml:space="preserve">, zwanego dalej „Fundatorem”, oświadczeniem woli złożonym w formie aktu notarialnego z dnia [data].</w:t>
      </w:r>
    </w:p>
    <w:p>
      <w:pPr>
        <w:pStyle w:val="BodyText"/>
      </w:pPr>
      <w:r>
        <w:rPr>
          <w:bCs/>
          <w:b/>
        </w:rPr>
        <w:t xml:space="preserve">§ 2.</w:t>
      </w:r>
      <w:r>
        <w:t xml:space="preserve"> </w:t>
      </w:r>
      <w:r>
        <w:t xml:space="preserve">Fundacja działa na podstawie ustawy z dnia 6 kwietnia 1984 r. o fundacjach oraz niniejszego Statutu i posiada osobowość prawną od chwili wpisania do Krajowego Rejestru Sądowego.</w:t>
      </w:r>
    </w:p>
    <w:p>
      <w:pPr>
        <w:pStyle w:val="BodyText"/>
      </w:pPr>
      <w:r>
        <w:rPr>
          <w:bCs/>
          <w:b/>
        </w:rPr>
        <w:t xml:space="preserve">§ 3.</w:t>
      </w:r>
      <w:r>
        <w:t xml:space="preserve"> </w:t>
      </w:r>
      <w:r>
        <w:t xml:space="preserve">Siedzibą Fundacji jest</w:t>
      </w:r>
      <w:r>
        <w:t xml:space="preserve"> </w:t>
      </w:r>
      <w:r>
        <w:rPr>
          <w:bCs/>
          <w:b/>
        </w:rPr>
        <w:t xml:space="preserve">Sieradz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§ 4.</w:t>
      </w:r>
      <w:r>
        <w:t xml:space="preserve"> </w:t>
      </w:r>
      <w:r>
        <w:t xml:space="preserve">1. Terenem działania Fundacji jest obszar Rzeczypospolitej Polskiej.</w:t>
      </w:r>
      <w:r>
        <w:t xml:space="preserve"> </w:t>
      </w:r>
      <w:r>
        <w:t xml:space="preserve">2. Dla właściwego realizowania celów Fundacja może prowadzić działalność poza granicami kraju, zgodnie z prawem miejscowym.</w:t>
      </w:r>
      <w:r>
        <w:t xml:space="preserve"> </w:t>
      </w:r>
      <w:r>
        <w:rPr>
          <w:rStyle w:val="VerbatimChar"/>
        </w:rPr>
        <w:t xml:space="preserve">[DO SPRAWDZENIA: czy to brzmienie wystarczy pod planowaną ścieżkę międzynarodową Nagrody]</w:t>
      </w:r>
      <w:r>
        <w:t xml:space="preserve"> </w:t>
      </w:r>
      <w:r>
        <w:t xml:space="preserve">3. Fundacja może tworzyć oddziały oraz przystępować do innych organizacji o zbieżnych celach.</w:t>
      </w:r>
    </w:p>
    <w:p>
      <w:pPr>
        <w:pStyle w:val="BodyText"/>
      </w:pPr>
      <w:r>
        <w:rPr>
          <w:bCs/>
          <w:b/>
        </w:rPr>
        <w:t xml:space="preserve">§ 5.</w:t>
      </w:r>
      <w:r>
        <w:t xml:space="preserve"> </w:t>
      </w:r>
      <w:r>
        <w:t xml:space="preserve">Nadzór nad Fundacją sprawuje</w:t>
      </w:r>
      <w:r>
        <w:t xml:space="preserve"> </w:t>
      </w:r>
      <w:r>
        <w:rPr>
          <w:bCs/>
          <w:b/>
        </w:rPr>
        <w:t xml:space="preserve">minister właściwy do spraw informatyzacji</w:t>
      </w:r>
      <w:r>
        <w:t xml:space="preserve">.</w:t>
      </w:r>
      <w:r>
        <w:t xml:space="preserve"> </w:t>
      </w:r>
      <w:r>
        <w:rPr>
          <w:rStyle w:val="VerbatimChar"/>
        </w:rPr>
        <w:t xml:space="preserve">[DO SPRAWDZENIA: czy przy celach z § 6 właściwy jest ten minister, czy minister właściwy do spraw oświaty i wychowania albo kultury; pytanie 37 w prawnik.md]</w:t>
      </w:r>
    </w:p>
    <w:p>
      <w:pPr>
        <w:pStyle w:val="BodyText"/>
      </w:pPr>
      <w:r>
        <w:rPr>
          <w:bCs/>
          <w:b/>
        </w:rPr>
        <w:t xml:space="preserve">§ 6.</w:t>
      </w:r>
      <w:r>
        <w:t xml:space="preserve"> </w:t>
      </w:r>
      <w:r>
        <w:t xml:space="preserve">Fundacja może używać wyróżniającego ją znaku graficznego oraz pieczęci z nazwą i adresem.</w:t>
      </w:r>
    </w:p>
    <w:p>
      <w:pPr>
        <w:pStyle w:val="BodyText"/>
      </w:pPr>
      <w:r>
        <w:rPr>
          <w:bCs/>
          <w:b/>
        </w:rPr>
        <w:t xml:space="preserve">§ 7.</w:t>
      </w:r>
      <w:r>
        <w:t xml:space="preserve"> </w:t>
      </w:r>
      <w:r>
        <w:t xml:space="preserve">Fundacja może ustanawiać odznaki, medale i dyplomy honorowe oraz przyznawać je osobom fizycznym i prawnym zasłużonym dla celów Fundacji.</w:t>
      </w:r>
    </w:p>
    <w:bookmarkEnd w:id="20"/>
    <w:bookmarkStart w:id="21" w:name="rozdział-ii.-cele-i-zasady-działania"/>
    <w:p>
      <w:pPr>
        <w:pStyle w:val="Heading2"/>
      </w:pPr>
      <w:r>
        <w:t xml:space="preserve">Rozdział II. Cele i zasady działania</w:t>
      </w:r>
    </w:p>
    <w:p>
      <w:pPr>
        <w:pStyle w:val="FirstParagraph"/>
      </w:pPr>
      <w:r>
        <w:rPr>
          <w:bCs/>
          <w:b/>
        </w:rPr>
        <w:t xml:space="preserve">§ 8.</w:t>
      </w:r>
      <w:r>
        <w:t xml:space="preserve"> </w:t>
      </w:r>
      <w:r>
        <w:t xml:space="preserve">Celami Fundacji są:</w:t>
      </w:r>
      <w:r>
        <w:t xml:space="preserve"> </w:t>
      </w:r>
      <w:r>
        <w:t xml:space="preserve">1. upowszechnianie umiejętności świadomego, krytycznego i twórczego korzystania ze sztucznej inteligencji;</w:t>
      </w:r>
      <w:r>
        <w:t xml:space="preserve"> </w:t>
      </w:r>
      <w:r>
        <w:t xml:space="preserve">2. dokumentowanie i udostępnianie zapisu rzeczywistych rozmów ludzi z modelami sztucznej inteligencji jako materiału edukacyjnego i badawczego;</w:t>
      </w:r>
      <w:r>
        <w:t xml:space="preserve"> </w:t>
      </w:r>
      <w:r>
        <w:t xml:space="preserve">3. wspieranie oświaty, wychowania i nauki w zakresie kompetencji cyfrowych;</w:t>
      </w:r>
      <w:r>
        <w:t xml:space="preserve"> </w:t>
      </w:r>
      <w:r>
        <w:t xml:space="preserve">4. działalność na rzecz kultury i sztuki słowa, w szczególności przez wydawanie publikacji;</w:t>
      </w:r>
      <w:r>
        <w:t xml:space="preserve"> </w:t>
      </w:r>
      <w:r>
        <w:t xml:space="preserve">5. wspieranie twórczości artystycznej podejmującej temat sztucznej inteligencji i jej roli w życiu człowieka - w dziedzinie filmu, muzyki i sztuk plastycznych;</w:t>
      </w:r>
      <w:r>
        <w:t xml:space="preserve"> </w:t>
      </w:r>
      <w:r>
        <w:t xml:space="preserve">6. upowszechnianie dostępu do dóbr kultury powstałych w ten sposób, w szczególności przez ich nieodpłatne udostępnianie;</w:t>
      </w:r>
      <w:r>
        <w:t xml:space="preserve"> </w:t>
      </w:r>
      <w:r>
        <w:t xml:space="preserve">7. promowanie postawy dociekliwości i rzetelności poznawczej.</w:t>
      </w:r>
    </w:p>
    <w:p>
      <w:pPr>
        <w:pStyle w:val="BodyText"/>
      </w:pPr>
      <w:r>
        <w:rPr>
          <w:bCs/>
          <w:b/>
        </w:rPr>
        <w:t xml:space="preserve">§ 9.</w:t>
      </w:r>
      <w:r>
        <w:t xml:space="preserve"> </w:t>
      </w:r>
      <w:r>
        <w:t xml:space="preserve">Fundacja realizuje swoje cele przez:</w:t>
      </w:r>
      <w:r>
        <w:t xml:space="preserve"> </w:t>
      </w:r>
      <w:r>
        <w:t xml:space="preserve">1. organizowanie i prowadzenie</w:t>
      </w:r>
      <w:r>
        <w:t xml:space="preserve"> </w:t>
      </w:r>
      <w:r>
        <w:rPr>
          <w:bCs/>
          <w:b/>
        </w:rPr>
        <w:t xml:space="preserve">Nagrody Konstela</w:t>
      </w:r>
      <w:r>
        <w:t xml:space="preserve"> </w:t>
      </w:r>
      <w:r>
        <w:t xml:space="preserve">- corocznej nagrody przyznawanej w plebiscytach: na rozmowę ze sztuczną inteligencją, na film o sztucznej inteligencji, na piosenkę o sztucznej inteligencji i na plakat o sztucznej inteligencji - w tym składanie przyrzeczeń publicznych i wypłatę nagród;</w:t>
      </w:r>
      <w:r>
        <w:t xml:space="preserve"> </w:t>
      </w:r>
      <w:r>
        <w:t xml:space="preserve">2. wydawanie i nieodpłatne udostępnianie antologii nagrodzonych rozmów oraz prowadzenie publicznego Archiwum zgłoszeń we wszystkich plebiscytach;</w:t>
      </w:r>
      <w:r>
        <w:t xml:space="preserve"> </w:t>
      </w:r>
      <w:r>
        <w:t xml:space="preserve">3. prowadzenie działalności wydawniczej i fonograficznej, także we współpracy z wydawcami zewnętrznymi, w tym wydawanie nagrań utworów nagrodzonych i finałowych;</w:t>
      </w:r>
      <w:r>
        <w:t xml:space="preserve"> </w:t>
      </w:r>
      <w:r>
        <w:t xml:space="preserve">3a. organizowanie wystaw, pokazów filmowych i koncertów prezentujących prace zgłoszone do plebiscytów;</w:t>
      </w:r>
      <w:r>
        <w:t xml:space="preserve"> </w:t>
      </w:r>
      <w:r>
        <w:t xml:space="preserve">4. organizowanie konferencji, warsztatów, szkoleń i wydarzeń publicznych;</w:t>
      </w:r>
      <w:r>
        <w:t xml:space="preserve"> </w:t>
      </w:r>
      <w:r>
        <w:t xml:space="preserve">5. prowadzenie działalności badawczej i analitycznej oraz publikowanie jej wyników;</w:t>
      </w:r>
      <w:r>
        <w:t xml:space="preserve"> </w:t>
      </w:r>
      <w:r>
        <w:t xml:space="preserve">6. współpracę z uczelniami, szkołami, organami administracji publicznej, organizacjami pozarządowymi i przedsiębiorcami.</w:t>
      </w:r>
    </w:p>
    <w:p>
      <w:pPr>
        <w:pStyle w:val="BodyText"/>
      </w:pPr>
      <w:r>
        <w:rPr>
          <w:bCs/>
          <w:b/>
        </w:rPr>
        <w:t xml:space="preserve">§ 10.</w:t>
      </w:r>
      <w:r>
        <w:t xml:space="preserve"> </w:t>
      </w:r>
      <w:r>
        <w:t xml:space="preserve">Fundacja nie działa w celu osiągnięcia zysku. Cały dochód Fundacji przeznaczany jest na realizację celów statutowych.</w:t>
      </w:r>
    </w:p>
    <w:p>
      <w:pPr>
        <w:pStyle w:val="BodyText"/>
      </w:pPr>
      <w:r>
        <w:rPr>
          <w:bCs/>
          <w:b/>
        </w:rPr>
        <w:t xml:space="preserve">§ 11.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Członkowie organów Fundacji nie mogą brać udziału w konkursach organizowanych przez Fundację ani otrzymywać w nich nagród.</w:t>
      </w:r>
      <w:r>
        <w:t xml:space="preserve"> </w:t>
      </w:r>
      <w:r>
        <w:t xml:space="preserve">Dotyczy to również Fundatora.</w:t>
      </w:r>
      <w:r>
        <w:t xml:space="preserve"> </w:t>
      </w:r>
      <w:r>
        <w:t xml:space="preserve">2. Wyłączenie, o którym mowa w ust. 1, stanowi minimum; regulamin konkursu może określić szerszy krąg osób wyłączonych, w szczególności obejmujący osoby oceniające, współpracowników Fundacji, organy i pracowników fundatorów nagród, mecenasów i partnerów komercyjnych oraz osoby im najbliższe.</w:t>
      </w:r>
      <w:r>
        <w:t xml:space="preserve"> </w:t>
      </w:r>
      <w:r>
        <w:t xml:space="preserve">3. Objęcie konkursu patronatem honorowym przez organ władzy publicznej, uczelnię albo inną instytucję nie czyni jej partnerem w rozumieniu ust. 2 i nie wyłącza z udziału jej pracowników, studentów ani doktorantów.</w:t>
      </w:r>
    </w:p>
    <w:bookmarkEnd w:id="21"/>
    <w:bookmarkStart w:id="22" w:name="rozdział-iii.-majątek-i-dochody"/>
    <w:p>
      <w:pPr>
        <w:pStyle w:val="Heading2"/>
      </w:pPr>
      <w:r>
        <w:t xml:space="preserve">Rozdział III. Majątek i dochody</w:t>
      </w:r>
    </w:p>
    <w:p>
      <w:pPr>
        <w:pStyle w:val="FirstParagraph"/>
      </w:pPr>
      <w:r>
        <w:rPr>
          <w:bCs/>
          <w:b/>
        </w:rPr>
        <w:t xml:space="preserve">§ 12.</w:t>
      </w:r>
      <w:r>
        <w:t xml:space="preserve"> </w:t>
      </w:r>
      <w:r>
        <w:t xml:space="preserve">Majątek Fundacji stanowi fundusz założycielski w kwocie</w:t>
      </w:r>
      <w:r>
        <w:t xml:space="preserve"> </w:t>
      </w:r>
      <w:r>
        <w:rPr>
          <w:bCs/>
          <w:b/>
        </w:rPr>
        <w:t xml:space="preserve">[DO USTALENIA: kwota]</w:t>
      </w:r>
      <w:r>
        <w:t xml:space="preserve"> </w:t>
      </w:r>
      <w:r>
        <w:t xml:space="preserve">zł, w tym</w:t>
      </w:r>
      <w:r>
        <w:t xml:space="preserve"> </w:t>
      </w:r>
      <w:r>
        <w:rPr>
          <w:bCs/>
          <w:b/>
        </w:rPr>
        <w:t xml:space="preserve">[DO USTALENIA]</w:t>
      </w:r>
      <w:r>
        <w:t xml:space="preserve"> </w:t>
      </w:r>
      <w:r>
        <w:t xml:space="preserve">zł przeznaczone na działalność gospodarczą, oraz środki nabyte w toku działania.</w:t>
      </w:r>
      <w:r>
        <w:t xml:space="preserve"> </w:t>
      </w:r>
      <w:r>
        <w:rPr>
          <w:rStyle w:val="VerbatimChar"/>
        </w:rPr>
        <w:t xml:space="preserve">[Księgowy odpowiedział 22.10.2026, że kwoty nie podpowie; pytanie przechodzi do biura obsługującego organizacje pozarządowe]</w:t>
      </w:r>
    </w:p>
    <w:p>
      <w:pPr>
        <w:pStyle w:val="BodyText"/>
      </w:pPr>
      <w:r>
        <w:rPr>
          <w:bCs/>
          <w:b/>
        </w:rPr>
        <w:t xml:space="preserve">§ 13.</w:t>
      </w:r>
      <w:r>
        <w:t xml:space="preserve"> </w:t>
      </w:r>
      <w:r>
        <w:t xml:space="preserve">Dochody Fundacji pochodzą w szczególności z:</w:t>
      </w:r>
      <w:r>
        <w:t xml:space="preserve"> </w:t>
      </w:r>
      <w:r>
        <w:t xml:space="preserve">1. darowizn, spadków i zapisów;</w:t>
      </w:r>
      <w:r>
        <w:t xml:space="preserve"> </w:t>
      </w:r>
      <w:r>
        <w:t xml:space="preserve">2. dotacji, subwencji i grantów;</w:t>
      </w:r>
      <w:r>
        <w:t xml:space="preserve"> </w:t>
      </w:r>
      <w:r>
        <w:t xml:space="preserve">3. środków przekazywanych przez fundatorów nagród, sponsorów i partnerów na podstawie umów;</w:t>
      </w:r>
      <w:r>
        <w:t xml:space="preserve"> </w:t>
      </w:r>
      <w:r>
        <w:t xml:space="preserve">4. przychodów z działalności wydawniczej, w tym honorariów licencyjnych;</w:t>
      </w:r>
      <w:r>
        <w:t xml:space="preserve"> </w:t>
      </w:r>
      <w:r>
        <w:t xml:space="preserve">5. zbiórek publicznych;</w:t>
      </w:r>
      <w:r>
        <w:t xml:space="preserve"> </w:t>
      </w:r>
      <w:r>
        <w:t xml:space="preserve">6. odsetek i lokat bankowych;</w:t>
      </w:r>
      <w:r>
        <w:t xml:space="preserve"> </w:t>
      </w:r>
      <w:r>
        <w:t xml:space="preserve">7. działalności gospodarczej prowadzonej przez Fundację.</w:t>
      </w:r>
    </w:p>
    <w:p>
      <w:pPr>
        <w:pStyle w:val="BodyText"/>
      </w:pPr>
      <w:r>
        <w:rPr>
          <w:bCs/>
          <w:b/>
        </w:rPr>
        <w:t xml:space="preserve">§ 14.</w:t>
      </w:r>
      <w:r>
        <w:t xml:space="preserve"> </w:t>
      </w:r>
      <w:r>
        <w:t xml:space="preserve">1. Dochody pochodzące z dotacji, darowizn, spadków i zapisów mogą być użyte na realizację wszystkich celów Fundacji, o ile ofiarodawcy nie postanowili inaczej.</w:t>
      </w:r>
      <w:r>
        <w:t xml:space="preserve"> </w:t>
      </w:r>
      <w:r>
        <w:t xml:space="preserve">2. Środki przekazane na pulę nagród konkretnej edycji Nagrody przeznaczane są wyłącznie na ten cel.</w:t>
      </w:r>
      <w:r>
        <w:t xml:space="preserve"> </w:t>
      </w:r>
      <w:r>
        <w:rPr>
          <w:rStyle w:val="VerbatimChar"/>
        </w:rPr>
        <w:t xml:space="preserve">[DO SPRAWDZENIA: czy to wystarczy jako zabezpieczenie puli, czy potrzebny rachunek powierniczy - pytanie 35 w prawnik.md]</w:t>
      </w:r>
      <w:r>
        <w:t xml:space="preserve"> </w:t>
      </w:r>
      <w:r>
        <w:t xml:space="preserve">3. Przychód z płatnego wydania antologii, po pokryciu kosztów wydania, zasila pulę nagród kolejnej edycji, zgodnie z regulaminem Nagrody.</w:t>
      </w:r>
    </w:p>
    <w:p>
      <w:pPr>
        <w:pStyle w:val="BodyText"/>
      </w:pPr>
      <w:r>
        <w:rPr>
          <w:bCs/>
          <w:b/>
        </w:rPr>
        <w:t xml:space="preserve">§ 15.</w:t>
      </w:r>
      <w:r>
        <w:t xml:space="preserve"> </w:t>
      </w:r>
      <w:r>
        <w:t xml:space="preserve">Fundacja odpowiada za swoje zobowiązania całym swoim majątkiem.</w:t>
      </w:r>
    </w:p>
    <w:bookmarkEnd w:id="22"/>
    <w:bookmarkStart w:id="25" w:name="rozdział-iv.-organy-fundacji"/>
    <w:p>
      <w:pPr>
        <w:pStyle w:val="Heading2"/>
      </w:pPr>
      <w:r>
        <w:t xml:space="preserve">Rozdział IV. Organy Fundacji</w:t>
      </w:r>
    </w:p>
    <w:p>
      <w:pPr>
        <w:pStyle w:val="FirstParagraph"/>
      </w:pPr>
      <w:r>
        <w:rPr>
          <w:bCs/>
          <w:b/>
        </w:rPr>
        <w:t xml:space="preserve">§ 16.</w:t>
      </w:r>
      <w:r>
        <w:t xml:space="preserve"> </w:t>
      </w:r>
      <w:r>
        <w:t xml:space="preserve">Organami Fundacji są</w:t>
      </w:r>
      <w:r>
        <w:t xml:space="preserve"> </w:t>
      </w:r>
      <w:r>
        <w:rPr>
          <w:bCs/>
          <w:b/>
        </w:rPr>
        <w:t xml:space="preserve">Zarząd</w:t>
      </w:r>
      <w:r>
        <w:t xml:space="preserve"> </w:t>
      </w:r>
      <w:r>
        <w:t xml:space="preserve">oraz</w:t>
      </w:r>
      <w:r>
        <w:t xml:space="preserve"> </w:t>
      </w:r>
      <w:r>
        <w:rPr>
          <w:bCs/>
          <w:b/>
        </w:rPr>
        <w:t xml:space="preserve">Rada Fundacji</w:t>
      </w:r>
      <w:r>
        <w:t xml:space="preserve">.</w:t>
      </w:r>
    </w:p>
    <w:bookmarkStart w:id="23" w:name="zarząd"/>
    <w:p>
      <w:pPr>
        <w:pStyle w:val="Heading3"/>
      </w:pPr>
      <w:r>
        <w:t xml:space="preserve">Zarząd</w:t>
      </w:r>
    </w:p>
    <w:p>
      <w:pPr>
        <w:pStyle w:val="FirstParagraph"/>
      </w:pPr>
      <w:r>
        <w:rPr>
          <w:bCs/>
          <w:b/>
        </w:rPr>
        <w:t xml:space="preserve">§ 17.</w:t>
      </w:r>
      <w:r>
        <w:t xml:space="preserve"> </w:t>
      </w:r>
      <w:r>
        <w:t xml:space="preserve">1. Zarząd liczy od</w:t>
      </w:r>
      <w:r>
        <w:t xml:space="preserve"> </w:t>
      </w:r>
      <w:r>
        <w:rPr>
          <w:bCs/>
          <w:b/>
        </w:rPr>
        <w:t xml:space="preserve">jednej do trzech</w:t>
      </w:r>
      <w:r>
        <w:t xml:space="preserve"> </w:t>
      </w:r>
      <w:r>
        <w:t xml:space="preserve">osób, w tym Prezesa.</w:t>
      </w:r>
      <w:r>
        <w:t xml:space="preserve"> </w:t>
      </w:r>
      <w:r>
        <w:t xml:space="preserve">2. Członków Zarządu powołuje i odwołuje Fundator, a po jego śmierci - Rada Fundacji.</w:t>
      </w:r>
      <w:r>
        <w:t xml:space="preserve"> </w:t>
      </w:r>
      <w:r>
        <w:rPr>
          <w:rStyle w:val="VerbatimChar"/>
        </w:rPr>
        <w:t xml:space="preserve">[DO SPRAWDZENIA: następstwo uprawnień Fundatora]</w:t>
      </w:r>
      <w:r>
        <w:t xml:space="preserve"> </w:t>
      </w:r>
      <w:r>
        <w:t xml:space="preserve">3. Kadencja Zarządu jest</w:t>
      </w:r>
      <w:r>
        <w:t xml:space="preserve"> </w:t>
      </w:r>
      <w:r>
        <w:rPr>
          <w:bCs/>
          <w:b/>
        </w:rPr>
        <w:t xml:space="preserve">bezterminowa</w:t>
      </w:r>
      <w:r>
        <w:t xml:space="preserve">; członek Zarządu pełni funkcję do odwołania, rezygnacji albo śmierci.</w:t>
      </w:r>
      <w:r>
        <w:t xml:space="preserve"> </w:t>
      </w:r>
      <w:r>
        <w:t xml:space="preserve">4. Członkostwo w Zarządzie ustaje z chwilą odwołania, rezygnacji albo śmierci.</w:t>
      </w:r>
    </w:p>
    <w:p>
      <w:pPr>
        <w:pStyle w:val="BodyText"/>
      </w:pPr>
      <w:r>
        <w:rPr>
          <w:bCs/>
          <w:b/>
        </w:rPr>
        <w:t xml:space="preserve">§ 18.</w:t>
      </w:r>
      <w:r>
        <w:t xml:space="preserve"> </w:t>
      </w:r>
      <w:r>
        <w:t xml:space="preserve">Zarząd kieruje działalnością Fundacji i reprezentuje ją na zewnątrz, a w szczególności:</w:t>
      </w:r>
      <w:r>
        <w:t xml:space="preserve"> </w:t>
      </w:r>
      <w:r>
        <w:t xml:space="preserve">1. uchwala roczne plany działania i preliminarze kosztów;</w:t>
      </w:r>
      <w:r>
        <w:t xml:space="preserve"> </w:t>
      </w:r>
      <w:r>
        <w:t xml:space="preserve">2. sprawuje zarząd majątkiem;</w:t>
      </w:r>
      <w:r>
        <w:t xml:space="preserve"> </w:t>
      </w:r>
      <w:r>
        <w:t xml:space="preserve">3. zatrudnia pracowników i zawiera umowy;</w:t>
      </w:r>
      <w:r>
        <w:t xml:space="preserve"> </w:t>
      </w:r>
      <w:r>
        <w:t xml:space="preserve">4. przyjmuje darowizny, spadki, zapisy, dotacje i środki od fundatorów nagród;</w:t>
      </w:r>
      <w:r>
        <w:t xml:space="preserve"> </w:t>
      </w:r>
      <w:r>
        <w:t xml:space="preserve">5. sporządza sprawozdania z działalności Fundacji;</w:t>
      </w:r>
      <w:r>
        <w:t xml:space="preserve"> </w:t>
      </w:r>
      <w:r>
        <w:t xml:space="preserve">6. ustala regulaminy konkursów prowadzonych przez Fundację, w tym regulamin Nagrody Konstela.</w:t>
      </w:r>
    </w:p>
    <w:p>
      <w:pPr>
        <w:pStyle w:val="BodyText"/>
      </w:pPr>
      <w:r>
        <w:rPr>
          <w:bCs/>
          <w:b/>
        </w:rPr>
        <w:t xml:space="preserve">§ 19.</w:t>
      </w:r>
      <w:r>
        <w:t xml:space="preserve"> </w:t>
      </w:r>
      <w:r>
        <w:t xml:space="preserve">Do składania oświadczeń woli w imieniu Fundacji uprawniony jest</w:t>
      </w:r>
      <w:r>
        <w:t xml:space="preserve"> </w:t>
      </w:r>
      <w:r>
        <w:rPr>
          <w:bCs/>
          <w:b/>
        </w:rPr>
        <w:t xml:space="preserve">każdy członek Zarządu samodzielnie</w:t>
      </w:r>
      <w:r>
        <w:t xml:space="preserve">.</w:t>
      </w:r>
      <w:r>
        <w:t xml:space="preserve"> </w:t>
      </w:r>
      <w:r>
        <w:rPr>
          <w:rStyle w:val="VerbatimChar"/>
        </w:rPr>
        <w:t xml:space="preserve">[DO SPRAWDZENIA: przy zarządzie jednoosobowym bez znaczenia; przy wieloosobowym rozważyć reprezentację łączną dla czynności powyżej określonej wartości]</w:t>
      </w:r>
    </w:p>
    <w:bookmarkEnd w:id="23"/>
    <w:bookmarkStart w:id="24" w:name="rada-fundacji"/>
    <w:p>
      <w:pPr>
        <w:pStyle w:val="Heading3"/>
      </w:pPr>
      <w:r>
        <w:t xml:space="preserve">Rada Fundacji</w:t>
      </w:r>
    </w:p>
    <w:p>
      <w:pPr>
        <w:pStyle w:val="FirstParagraph"/>
      </w:pPr>
      <w:r>
        <w:rPr>
          <w:bCs/>
          <w:b/>
        </w:rPr>
        <w:t xml:space="preserve">§ 20.</w:t>
      </w:r>
      <w:r>
        <w:t xml:space="preserve"> </w:t>
      </w:r>
      <w:r>
        <w:t xml:space="preserve">1. Rada Fundacji liczy od</w:t>
      </w:r>
      <w:r>
        <w:t xml:space="preserve"> </w:t>
      </w:r>
      <w:r>
        <w:rPr>
          <w:bCs/>
          <w:b/>
        </w:rPr>
        <w:t xml:space="preserve">dwóch do czterech</w:t>
      </w:r>
      <w:r>
        <w:t xml:space="preserve"> </w:t>
      </w:r>
      <w:r>
        <w:t xml:space="preserve">osób.</w:t>
      </w:r>
      <w:r>
        <w:t xml:space="preserve"> </w:t>
      </w:r>
      <w:r>
        <w:rPr>
          <w:rStyle w:val="VerbatimChar"/>
        </w:rPr>
        <w:t xml:space="preserve">[DO USTALENIA: przy trzech łatwiej o kworum]</w:t>
      </w:r>
      <w:r>
        <w:t xml:space="preserve"> </w:t>
      </w:r>
      <w:r>
        <w:t xml:space="preserve">2. Członków Rady powołuje i odwołuje Fundator.</w:t>
      </w:r>
      <w:r>
        <w:t xml:space="preserve"> </w:t>
      </w:r>
      <w:r>
        <w:rPr>
          <w:rStyle w:val="VerbatimChar"/>
        </w:rPr>
        <w:t xml:space="preserve">[DO SPRAWDZENIA: czy Fundator będący jednocześnie członkiem Zarządu może powoływać organ, który ma go kontrolować - pytanie 38 w prawnik.md]</w:t>
      </w:r>
      <w:r>
        <w:t xml:space="preserve"> </w:t>
      </w:r>
      <w:r>
        <w:t xml:space="preserve">3. Członkiem Rady nie może być osoba będąca jednocześnie członkiem Zarządu.</w:t>
      </w:r>
      <w:r>
        <w:t xml:space="preserve"> </w:t>
      </w:r>
      <w:r>
        <w:t xml:space="preserve">4. Funkcja członka Rady jest pełniona nieodpłatnie; członkom Rady przysługuje zwrot uzasadnionych kosztów.</w:t>
      </w:r>
    </w:p>
    <w:p>
      <w:pPr>
        <w:pStyle w:val="BodyText"/>
      </w:pPr>
      <w:r>
        <w:rPr>
          <w:bCs/>
          <w:b/>
        </w:rPr>
        <w:t xml:space="preserve">§ 21.</w:t>
      </w:r>
      <w:r>
        <w:t xml:space="preserve"> </w:t>
      </w:r>
      <w:r>
        <w:t xml:space="preserve">Do kompetencji Rady Fundacji należy: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reprezentowanie Fundacji w umowach i sporach z członkami Zarządu</w:t>
      </w:r>
      <w:r>
        <w:t xml:space="preserve">, w tym podejmowanie uchwał o zawarciu, zmianie i rozwiązaniu takiej umowy oraz o wysokości wynagrodzenia członka Zarządu; Rada może w tym celu ustanowić pełnomocnika;</w:t>
      </w:r>
      <w:r>
        <w:t xml:space="preserve"> </w:t>
      </w:r>
      <w:r>
        <w:t xml:space="preserve">2. nadzór nad działalnością Fundacji;</w:t>
      </w:r>
      <w:r>
        <w:t xml:space="preserve"> </w:t>
      </w:r>
      <w:r>
        <w:t xml:space="preserve">3. zatwierdzanie rocznych sprawozdań Zarządu;</w:t>
      </w:r>
      <w:r>
        <w:t xml:space="preserve"> </w:t>
      </w:r>
      <w:r>
        <w:t xml:space="preserve">4. wyrażanie opinii w sprawach przedłożonych przez Zarząd.</w:t>
      </w:r>
    </w:p>
    <w:p>
      <w:pPr>
        <w:pStyle w:val="BodyText"/>
      </w:pPr>
      <w:r>
        <w:rPr>
          <w:bCs/>
          <w:b/>
        </w:rPr>
        <w:t xml:space="preserve">§ 22.</w:t>
      </w:r>
      <w:r>
        <w:t xml:space="preserve"> </w:t>
      </w:r>
      <w:r>
        <w:t xml:space="preserve">1. Rada podejmuje uchwały zwykłą większością głosów przy obecności co najmniej połowy członków; przy równości głosów rozstrzyga głos przewodniczącego.</w:t>
      </w:r>
      <w:r>
        <w:t xml:space="preserve"> </w:t>
      </w:r>
      <w:r>
        <w:t xml:space="preserve">2. Uchwały mogą być podejmowane na posiedzeniu, w tym przy użyciu środków porozumiewania się na odległość, albo w trybie obiegowym.</w:t>
      </w:r>
      <w:r>
        <w:t xml:space="preserve"> </w:t>
      </w:r>
      <w:r>
        <w:t xml:space="preserve">3. Rada zbiera się co najmniej raz w roku.</w:t>
      </w:r>
    </w:p>
    <w:bookmarkEnd w:id="24"/>
    <w:bookmarkEnd w:id="25"/>
    <w:bookmarkStart w:id="26" w:name="rozdział-v.-działalność-gospodarcza"/>
    <w:p>
      <w:pPr>
        <w:pStyle w:val="Heading2"/>
      </w:pPr>
      <w:r>
        <w:t xml:space="preserve">Rozdział V. Działalność gospodarcza</w:t>
      </w:r>
    </w:p>
    <w:p>
      <w:pPr>
        <w:pStyle w:val="FirstParagraph"/>
      </w:pPr>
      <w:r>
        <w:rPr>
          <w:bCs/>
          <w:b/>
        </w:rPr>
        <w:t xml:space="preserve">§ 23.</w:t>
      </w:r>
      <w:r>
        <w:t xml:space="preserve"> </w:t>
      </w:r>
      <w:r>
        <w:t xml:space="preserve">1. Fundacja może prowadzić działalność gospodarczą w rozmiarach służących realizacji jej celów statutowych, jako działalność dodatkową w stosunku do działalności statutowej.</w:t>
      </w:r>
      <w:r>
        <w:t xml:space="preserve"> </w:t>
      </w:r>
      <w:r>
        <w:t xml:space="preserve">2. Na działalność gospodarczą przeznacza się część funduszu założycielskiego w kwocie</w:t>
      </w:r>
      <w:r>
        <w:t xml:space="preserve"> </w:t>
      </w:r>
      <w:r>
        <w:rPr>
          <w:bCs/>
          <w:b/>
        </w:rPr>
        <w:t xml:space="preserve">[DO USTALENIA, nie mniej niż 1000 zł - art. 5 ust. 5 ustawy o fundacjach]</w:t>
      </w:r>
      <w:r>
        <w:t xml:space="preserve">.</w:t>
      </w:r>
      <w:r>
        <w:t xml:space="preserve"> </w:t>
      </w:r>
      <w:r>
        <w:t xml:space="preserve">3. Przedmiotem działalności gospodarczej Fundacji jest w szczególności:</w:t>
      </w:r>
      <w:r>
        <w:t xml:space="preserve"> </w:t>
      </w:r>
      <w:r>
        <w:rPr>
          <w:bCs/>
          <w:b/>
        </w:rPr>
        <w:t xml:space="preserve">[DO USTALENIA: kody PKD - wydawanie książek, działalność wydawnicza, działalność w zakresie nagrań dźwiękowych i muzyczna, działalność związana z wystawianiem przedstawień i projekcją filmów, działalność edukacyjna, reklama]</w:t>
      </w:r>
      <w:r>
        <w:t xml:space="preserve">.</w:t>
      </w:r>
      <w:r>
        <w:t xml:space="preserve"> </w:t>
      </w:r>
      <w:r>
        <w:rPr>
          <w:rStyle w:val="VerbatimChar"/>
        </w:rPr>
        <w:t xml:space="preserve">[Kody wyłącznie z klasyfikacji PKD 2025 - część numeracji zmieniona, wzory krążące w internecie są nieaktualne (informacja GCOP, 23.10.2026). Do ustalenia na konsultacji prawnej w GCOP.]</w:t>
      </w:r>
      <w:r>
        <w:t xml:space="preserve"> </w:t>
      </w:r>
      <w:r>
        <w:t xml:space="preserve">4. Dochód z działalności gospodarczej przeznaczany jest wyłącznie na cele statutowe.</w:t>
      </w:r>
    </w:p>
    <w:p>
      <w:pPr>
        <w:pStyle w:val="BodyText"/>
      </w:pPr>
      <w:r>
        <w:rPr>
          <w:bCs/>
          <w:b/>
        </w:rPr>
        <w:t xml:space="preserve">§ 24.</w:t>
      </w:r>
      <w:r>
        <w:t xml:space="preserve"> </w:t>
      </w:r>
      <w:r>
        <w:t xml:space="preserve">Fundacja prowadzi gospodarkę finansową i rachunkowość zgodnie z obowiązującymi przepisami.</w:t>
      </w:r>
    </w:p>
    <w:bookmarkEnd w:id="26"/>
    <w:bookmarkStart w:id="27" w:name="X85e37bf5e80f57a5268915be6956677502324f0"/>
    <w:p>
      <w:pPr>
        <w:pStyle w:val="Heading2"/>
      </w:pPr>
      <w:r>
        <w:t xml:space="preserve">Rozdział VI. Zmiana Statutu, połączenie, likwidacja</w:t>
      </w:r>
    </w:p>
    <w:p>
      <w:pPr>
        <w:pStyle w:val="FirstParagraph"/>
      </w:pPr>
      <w:r>
        <w:rPr>
          <w:bCs/>
          <w:b/>
        </w:rPr>
        <w:t xml:space="preserve">§ 25.</w:t>
      </w:r>
      <w:r>
        <w:t xml:space="preserve"> </w:t>
      </w:r>
      <w:r>
        <w:t xml:space="preserve">Zmiany Statutu, w tym zmiany celów Fundacji, dokonuje Fundator, a po jego śmierci - Zarząd za zgodą Rady Fundacji.</w:t>
      </w:r>
      <w:r>
        <w:t xml:space="preserve"> </w:t>
      </w:r>
      <w:r>
        <w:rPr>
          <w:rStyle w:val="VerbatimChar"/>
        </w:rPr>
        <w:t xml:space="preserve">[DO SPRAWDZENIA]</w:t>
      </w:r>
    </w:p>
    <w:p>
      <w:pPr>
        <w:pStyle w:val="BodyText"/>
      </w:pPr>
      <w:r>
        <w:rPr>
          <w:bCs/>
          <w:b/>
        </w:rPr>
        <w:t xml:space="preserve">§ 26.</w:t>
      </w:r>
      <w:r>
        <w:t xml:space="preserve"> </w:t>
      </w:r>
      <w:r>
        <w:t xml:space="preserve">Fundacja może połączyć się z inną fundacją o zbieżnych celach, jeżeli nie spowoduje to istotnej zmiany jej celu.</w:t>
      </w:r>
    </w:p>
    <w:p>
      <w:pPr>
        <w:pStyle w:val="BodyText"/>
      </w:pPr>
      <w:r>
        <w:rPr>
          <w:bCs/>
          <w:b/>
        </w:rPr>
        <w:t xml:space="preserve">§ 27.</w:t>
      </w:r>
      <w:r>
        <w:t xml:space="preserve"> </w:t>
      </w:r>
      <w:r>
        <w:t xml:space="preserve">1. Fundacja ulega likwidacji w razie osiągnięcia celów, dla których została ustanowiona, albo wyczerpania jej środków finansowych i majątku.</w:t>
      </w:r>
      <w:r>
        <w:t xml:space="preserve"> </w:t>
      </w:r>
      <w:r>
        <w:t xml:space="preserve">2. Decyzję o likwidacji podejmuje Fundator, a po jego śmierci - Zarząd za zgodą Rady Fundacji.</w:t>
      </w:r>
      <w:r>
        <w:t xml:space="preserve"> </w:t>
      </w:r>
      <w:r>
        <w:t xml:space="preserve">3. Środki pozostałe po likwidacji przeznacza się na cele zbieżne z celami Fundacji, wskazane w uchwale o likwidacji.</w:t>
      </w:r>
      <w:r>
        <w:t xml:space="preserve"> </w:t>
      </w:r>
      <w:r>
        <w:rPr>
          <w:rStyle w:val="VerbatimChar"/>
        </w:rPr>
        <w:t xml:space="preserve">[DO SPRAWDZENIA: czy wskazać konkretny podmiot albo cel]</w:t>
      </w:r>
    </w:p>
    <w:bookmarkEnd w:id="27"/>
    <w:bookmarkStart w:id="28" w:name="rozdział-vii.-postanowienia-końcowe"/>
    <w:p>
      <w:pPr>
        <w:pStyle w:val="Heading2"/>
      </w:pPr>
      <w:r>
        <w:t xml:space="preserve">Rozdział VII. Postanowienia końcowe</w:t>
      </w:r>
    </w:p>
    <w:p>
      <w:pPr>
        <w:pStyle w:val="FirstParagraph"/>
      </w:pPr>
      <w:r>
        <w:rPr>
          <w:bCs/>
          <w:b/>
        </w:rPr>
        <w:t xml:space="preserve">§ 28.</w:t>
      </w:r>
      <w:r>
        <w:t xml:space="preserve"> </w:t>
      </w:r>
      <w:r>
        <w:t xml:space="preserve">Statut wchodzi w życie z dniem wpisania Fundacji do Krajowego Rejestru Sądowego.</w:t>
      </w:r>
    </w:p>
    <w:p>
      <w:r>
        <w:pict>
          <v:rect style="width:0;height:1.5pt" o:hralign="center" o:hrstd="t" o:hr="t"/>
        </w:pict>
      </w:r>
    </w:p>
    <w:bookmarkEnd w:id="28"/>
    <w:bookmarkStart w:id="29" w:name="pytania-do-kancelarii"/>
    <w:p>
      <w:pPr>
        <w:pStyle w:val="Heading2"/>
      </w:pPr>
      <w:r>
        <w:t xml:space="preserve">Pytania do kancelarii</w:t>
      </w:r>
    </w:p>
    <w:p>
      <w:pPr>
        <w:pStyle w:val="FirstParagraph"/>
      </w:pPr>
      <w:r>
        <w:t xml:space="preserve">Pytania wynikają wprost ze znaczników w tekście powyżej i są ułożone w kolejności paragrafów. Każde dotyczy brzmienia zapisu, a nie wyboru biznesowego - wybory biznesowe są w następnej sekcji.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4 ust. 2 - działalność poza granicami kraju.</w:t>
      </w:r>
      <w:r>
        <w:t xml:space="preserve"> </w:t>
      </w:r>
      <w:r>
        <w:t xml:space="preserve">Czy brzmienie „może prowadzić działalność poza granicami kraju, zgodnie z prawem miejscowym” wystarczy pod planowaną międzynarodową odsłonę Nagrody, czy potrzebny jest zapis szerszy albo wskazanie formy (oddział, przedstawicielstwo)?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5 - minister nadzoru.</w:t>
      </w:r>
      <w:r>
        <w:t xml:space="preserve"> </w:t>
      </w:r>
      <w:r>
        <w:t xml:space="preserve">Cele z § 8 obejmują zarówno kompetencje cyfrowe, jak i twórczość artystyczną - film, muzykę i sztuki plastyczne. Czy przy takim zakresie właściwy jest minister do spraw informatyzacji, czy raczej minister do spraw kultury albo oświaty i wychowania? Czy przy celach mieszanych można wskazać jednego ministra bez ryzyka sporu kompetencyjnego przy rejestracji?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12 - fundusz założycielski.</w:t>
      </w:r>
      <w:r>
        <w:t xml:space="preserve"> </w:t>
      </w:r>
      <w:r>
        <w:t xml:space="preserve">Czy wyodrębnienie części funduszu na działalność gospodarczą musi znaleźć się w samym statucie, czy wystarczy w oświadczeniu woli fundatora? Czy kwota poniżej 1000 zł na działalność gospodarczą jest podstawą odmowy wpisu do rejestru przedsiębiorców?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14 ust. 2 - zabezpieczenie puli nagród.</w:t>
      </w:r>
      <w:r>
        <w:t xml:space="preserve"> </w:t>
      </w:r>
      <w:r>
        <w:t xml:space="preserve">Czy zapis „środki przekazane na pulę nagród konkretnej edycji przeznaczane są wyłącznie na ten cel” wystarczy, aby pula była chroniona przed wierzycielami Fundacji i przed przeznaczeniem jej na bieżącą działalność, czy potrzebny jest rachunek powierniczy albo odrębny rachunek z zastrzeżeniem celu?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17 ust. 2 - następstwo uprawnień Fundatora.</w:t>
      </w:r>
      <w:r>
        <w:t xml:space="preserve"> </w:t>
      </w:r>
      <w:r>
        <w:t xml:space="preserve">Czy przejście uprawnień Fundatora na Radę Fundacji po jego śmierci jest skuteczne na podstawie samego statutu? Czy uprawnienia fundatora podlegają dziedziczeniu, jeżeli statut milczy, i czy trzeba to wyłączyć wprost?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19 - reprezentacja.</w:t>
      </w:r>
      <w:r>
        <w:t xml:space="preserve"> </w:t>
      </w:r>
      <w:r>
        <w:t xml:space="preserve">Czy przy zarządzie wieloosobowym bezpieczniejsza jest reprezentacja łączna dwóch członków albo członka z prokurentem? Jakie są skutki samodzielnej reprezentacji przy umowach z partnerami finansującymi pulę nagród?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20 ust. 2 - powoływanie Rady przez Fundatora.</w:t>
      </w:r>
      <w:r>
        <w:t xml:space="preserve"> </w:t>
      </w:r>
      <w:r>
        <w:t xml:space="preserve">Czy Fundator będący jednocześnie członkiem Zarządu może powoływać i odwoływać organ, który ma Zarząd kontrolować? Czy taka konstrukcja nie podważa nadzoru wewnętrznego w oczach sądu rejestrowego albo grantodawcy?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23 ust. 3 - kody PKD.</w:t>
      </w:r>
      <w:r>
        <w:t xml:space="preserve"> </w:t>
      </w:r>
      <w:r>
        <w:t xml:space="preserve">Czy proponowany zakres (działalność wydawnicza i fonograficzna, organizacja wystaw, pokazów i koncertów, działalność edukacyjna, reklama) wymaga doprecyzowania w statucie co do klas, czy wystarczy wskazanie przedmiotu działalności słowami?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25 - zmiana Statutu i celów.</w:t>
      </w:r>
      <w:r>
        <w:t xml:space="preserve"> </w:t>
      </w:r>
      <w:r>
        <w:t xml:space="preserve">Czy zmiana celów Fundacji przez Fundatora jednoosobowo jest dopuszczalna, a jeżeli tak, czy wymaga zastrzeżenia w akcie fundacyjnym? Czy po śmierci Fundatora konstrukcja „Zarząd za zgodą Rady” jest wystarczająca?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 27 ust. 3 - przeznaczenie majątku po likwidacji.</w:t>
      </w:r>
      <w:r>
        <w:t xml:space="preserve"> </w:t>
      </w:r>
      <w:r>
        <w:t xml:space="preserve">Czy można wskazać cel ogólny („cele zbieżne z celami Fundacji”), czy sąd oczekuje wskazania konkretnego podmiotu albo sposobu jego wyboru?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Przyrzeczenie publiczne a fundacja.</w:t>
      </w:r>
      <w:r>
        <w:t xml:space="preserve"> </w:t>
      </w:r>
      <w:r>
        <w:t xml:space="preserve">Czy regulaminy plebiscytów, konstruowane jako przyrzeczenie publiczne (art. 919 k.c.), wymagają podstawy w statucie, czy wystarczy, że mieszczą się w celach statutowych?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Nagrody dla osób niepełnoletnich.</w:t>
      </w:r>
      <w:r>
        <w:t xml:space="preserve"> </w:t>
      </w:r>
      <w:r>
        <w:t xml:space="preserve">Czy wypłata nagrody pieniężnej osobie od 16. roku życia wymaga czegoś więcej niż zgody przedstawiciela ustawowego, i czy statut powinien to przewidywać?</w:t>
      </w:r>
    </w:p>
    <w:bookmarkEnd w:id="29"/>
    <w:bookmarkStart w:id="30" w:name="decyzje-dla-notariusza-i-księgowego"/>
    <w:p>
      <w:pPr>
        <w:pStyle w:val="Heading2"/>
      </w:pPr>
      <w:r>
        <w:t xml:space="preserve">Decyzje dla notariusza i księgowego</w:t>
      </w:r>
    </w:p>
    <w:p>
      <w:pPr>
        <w:pStyle w:val="FirstParagraph"/>
      </w:pPr>
      <w:r>
        <w:t xml:space="preserve">To nie są pytania prawne, tylko wybory, które trzeba podjąć przed aktem notarialnym.</w:t>
      </w:r>
    </w:p>
    <w:p>
      <w:pPr>
        <w:numPr>
          <w:ilvl w:val="0"/>
          <w:numId w:val="1002"/>
        </w:numPr>
        <w:pStyle w:val="Compact"/>
      </w:pPr>
      <w:r>
        <w:t xml:space="preserve">Nazwa Fundacji -</w:t>
      </w:r>
      <w:r>
        <w:t xml:space="preserve"> </w:t>
      </w:r>
      <w:r>
        <w:rPr>
          <w:bCs/>
          <w:b/>
        </w:rPr>
        <w:t xml:space="preserve">rozstrzygnięte 22.10.2026: Fundacja Konstela.</w:t>
      </w:r>
      <w:r>
        <w:t xml:space="preserve"> </w:t>
      </w:r>
      <w:r>
        <w:t xml:space="preserve">Pozostaje do sprawdzenia dostępność w KRS i kolizja ze znakami towarowymi.</w:t>
      </w:r>
    </w:p>
    <w:p>
      <w:pPr>
        <w:numPr>
          <w:ilvl w:val="0"/>
          <w:numId w:val="1002"/>
        </w:numPr>
        <w:pStyle w:val="Compact"/>
      </w:pPr>
      <w:r>
        <w:t xml:space="preserve">Siedziba -</w:t>
      </w:r>
      <w:r>
        <w:t xml:space="preserve"> </w:t>
      </w:r>
      <w:r>
        <w:rPr>
          <w:bCs/>
          <w:b/>
        </w:rPr>
        <w:t xml:space="preserve">rozstrzygnięte 22.10.2026: Sieradz.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Fundusz założycielski</w:t>
      </w:r>
      <w:r>
        <w:t xml:space="preserve"> </w:t>
      </w:r>
      <w:r>
        <w:t xml:space="preserve">- łączna kwota i część na działalność gospodarczą (księgowy).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Kody PKD</w:t>
      </w:r>
      <w:r>
        <w:t xml:space="preserve"> </w:t>
      </w:r>
      <w:r>
        <w:t xml:space="preserve">dla działalności gospodarczej (biuro księgowe obsługujące organizacje pozarządowe - Globico nie prowadzi fundacji).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Liczebność Rady</w:t>
      </w:r>
      <w:r>
        <w:t xml:space="preserve"> </w:t>
      </w:r>
      <w:r>
        <w:t xml:space="preserve">- dwie czy trzy osoby.</w:t>
      </w:r>
    </w:p>
    <w:p>
      <w:pPr>
        <w:numPr>
          <w:ilvl w:val="0"/>
          <w:numId w:val="1002"/>
        </w:numPr>
        <w:pStyle w:val="Compact"/>
      </w:pPr>
      <w:r>
        <w:t xml:space="preserve">Kadencja Zarządu -</w:t>
      </w:r>
      <w:r>
        <w:t xml:space="preserve"> </w:t>
      </w:r>
      <w:r>
        <w:rPr>
          <w:bCs/>
          <w:b/>
        </w:rPr>
        <w:t xml:space="preserve">rozstrzygnięte 22.10.2026: bezterminowa.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Wpis do rejestru przedsiębiorców od razu</w:t>
      </w:r>
      <w:r>
        <w:t xml:space="preserve"> </w:t>
      </w:r>
      <w:r>
        <w:t xml:space="preserve">czy dopiero przy rozpoczęciu działalności gospodarczej - wpływa na opłatę sądową i sprawozdawczość (księgowy).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Minister nadzoru</w:t>
      </w:r>
      <w:r>
        <w:t xml:space="preserve"> </w:t>
      </w:r>
      <w:r>
        <w:t xml:space="preserve">- czy cyfryzacji przy tych celach (prawnik, pytanie 37).</w:t>
      </w:r>
    </w:p>
    <w:p>
      <w:pPr>
        <w:numPr>
          <w:ilvl w:val="0"/>
          <w:numId w:val="1002"/>
        </w:numPr>
        <w:pStyle w:val="Compact"/>
      </w:pPr>
      <w:r>
        <w:t xml:space="preserve">Wyłączenie członków organów z udziału w konkursach -</w:t>
      </w:r>
      <w:r>
        <w:t xml:space="preserve"> </w:t>
      </w:r>
      <w:r>
        <w:rPr>
          <w:bCs/>
          <w:b/>
        </w:rPr>
        <w:t xml:space="preserve">rozstrzygnięte 22.10.2026: wpisane do statutu jako § 11.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2026-10-28T14:57:04Z</dcterms:created>
  <dcterms:modified xsi:type="dcterms:W3CDTF">2026-10-28T14:57:04Z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