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PROJEKT LISTU INTENCYJNEGO</w:t>
      </w:r>
    </w:p>
    <w:p>
      <w:pPr>
        <w:spacing w:after="2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Propozycja treści do dowolnej zmiany lub odrzucenia przez Ministerstwo Cyfryzacji.</w:t>
      </w:r>
    </w:p>
    <w:p>
      <w:pPr>
        <w:spacing w:after="24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[nagłówek Ministerstwa Cyfryzacji]</w:t>
      </w:r>
    </w:p>
    <w:p>
      <w:pPr>
        <w:spacing w:after="0" w:before="0" w:line="252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Warszawa, dnia ..........</w:t>
      </w:r>
    </w:p>
    <w:p>
      <w:pPr>
        <w:spacing w:after="280" w:before="0" w:line="252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Znak sprawy: ..........</w:t>
      </w:r>
    </w:p>
    <w:p>
      <w:pPr>
        <w:spacing w:after="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Pan Krzysztof Olbiński</w:t>
      </w:r>
    </w:p>
    <w:p>
      <w:pPr>
        <w:spacing w:after="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ul. 11 Listopada 12/1</w:t>
      </w:r>
    </w:p>
    <w:p>
      <w:pPr>
        <w:spacing w:after="32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98-200 Sieradz</w:t>
      </w:r>
    </w:p>
    <w:p>
      <w:pPr>
        <w:spacing w:after="30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LIST INTENCYJNY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Ministerstwo Cyfryzacji zapoznało się z przedstawioną koncepcją Nagrody Konstela - cyklicznej nagrody przyznawanej osobom prowadzącym pogłębione rozmowy z modelami sztucznej inteligencji, wraz z towarzyszącą jej antologią publikowaną nieodpłatnie w internecie.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Ministerstwo uznaje tematykę inicjatywy za wpisującą się w obszar rozwoju kompetencji cyfrowych, w szczególności w zakresie świadomego i krytycznego korzystania z narzędzi sztucznej inteligencji, oraz dostrzega wartość edukacyjną udostępnianych bezpłatnie materiałów źródłowych w języku polskim.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Ewentualne objęcie uroczystości rozstrzygnięcia pierwszej edycji Nagrody patronatem honorowym Ministra Cyfryzacji wymaga odrębnego wniosku, złożonego w formie elektronicznej nie później niż 8 tygodni przed wydarzeniem, zgodnie z trybem określonym w Regulaminie przyznawania patronatów Ministra Cyfryzacji. Niniejsze pismo wskazuje tę ścieżkę i nie zawiera rozstrzygnięcia co do wniosku, który zostanie oceniony na zasadach ogólnych.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Niniejsze pismo nie stanowi przyznania patronatu, zobowiązania finansowego ani zobowiązania do podjęcia innych działań po stronie Ministerstwa Cyfryzacji.</w:t>
      </w:r>
    </w:p>
    <w:p>
      <w:pPr>
        <w:spacing w:after="44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after="4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(pieczęć urzędowa)</w:t>
      </w:r>
    </w:p>
    <w:p>
      <w:pPr>
        <w:spacing w:after="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</w:t>
      </w:r>
    </w:p>
    <w:p>
      <w:pPr>
        <w:spacing w:after="3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podpis, imię i nazwisko, stanowisko</w:t>
      </w:r>
    </w:p>
    <w:p>
      <w:pPr>
        <w:spacing w:after="16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Pismo może zostać opatrzone kwalifikowanym podpisem elektronicznym zamiast podpisu odręcznego i pieczęci.</w:t>
      </w:r>
    </w:p>
    <w:sectPr>
      <w:pgSz w:w="11906" w:h="16838" w:orient="portrait"/>
      <w:pgMar w:top="1021" w:right="1134" w:bottom="102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2026-10-21T08:14:05.927Z</dcterms:created>
  <dcterms:modified xsi:type="dcterms:W3CDTF">2026-10-21T08:14:05.933Z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