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Subtitle"/>
      </w:pPr>
      <w:r>
        <w:t>HARBOUR RETAIL GROUP</w:t>
      </w:r>
    </w:p>
    <w:p>
      <w:pPr>
        <w:pStyle w:val="Title"/>
        <w:jc w:val="center"/>
      </w:pPr>
      <w:r>
        <w:t>Finance Policies and Procedures</w:t>
      </w:r>
    </w:p>
    <w:p>
      <w:pPr>
        <w:pStyle w:val="Subtitle"/>
        <w:jc w:val="center"/>
      </w:pPr>
      <w:r>
        <w:t>FY2025/26 | Version 1.0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968"/>
          </w:tcPr>
          <w:p>
            <w:r>
              <w:t>DOC_DOCX_001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Olivia Bennett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968"/>
          </w:tcPr>
          <w:p>
            <w:r>
              <w:t>1 July 2025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Review cycle</w:t>
            </w:r>
          </w:p>
        </w:tc>
        <w:tc>
          <w:tcPr>
            <w:tcW w:type="dxa" w:w="4968"/>
          </w:tcPr>
          <w:p>
            <w:r>
              <w:t>Annual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968"/>
          </w:tcPr>
          <w:p>
            <w:r>
              <w:t>Internal - synthetic training data</w:t>
            </w:r>
          </w:p>
        </w:tc>
      </w:tr>
    </w:tbl>
    <w:p/>
    <w:p>
      <w:pPr>
        <w:jc w:val="center"/>
      </w:pPr>
      <w:r>
        <w:rPr>
          <w:i/>
          <w:color w:val="595959"/>
          <w:sz w:val="18"/>
        </w:rPr>
        <w:t>This document contains synthetic business information created for a reproducible RAG evaluation project.</w:t>
      </w:r>
    </w:p>
    <w:p>
      <w:r>
        <w:br w:type="page"/>
      </w:r>
    </w:p>
    <w:p>
      <w:pPr>
        <w:pStyle w:val="Heading1"/>
      </w:pPr>
      <w:r>
        <w:t>1. Document overview</w:t>
      </w:r>
    </w:p>
    <w:p>
      <w:pPr>
        <w:pStyle w:val="Heading2"/>
      </w:pPr>
      <w:r>
        <w:t>1.1 Purpose</w:t>
      </w:r>
    </w:p>
    <w:p>
      <w:r>
        <w:t>This document defines the principal finance controls, approval requirements, accounting procedures and forecasting responsibilities used by Harbour Retail Group.</w:t>
      </w:r>
    </w:p>
    <w:p>
      <w:pPr>
        <w:pStyle w:val="Heading2"/>
      </w:pPr>
      <w:r>
        <w:t>1.2 Scope</w:t>
      </w:r>
    </w:p>
    <w:p>
      <w:r>
        <w:t>The policies apply to all Harbour Retail Group departments, stores, corporate functions and employees involved in expenditure, financial reporting, procurement, forecasting or record retention.</w:t>
      </w:r>
    </w:p>
    <w:p>
      <w:pPr>
        <w:pStyle w:val="Heading2"/>
      </w:pPr>
      <w:r>
        <w:t>1.3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968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Primary responsibility</w:t>
            </w:r>
          </w:p>
        </w:tc>
      </w:tr>
      <w:tr>
        <w:tc>
          <w:tcPr>
            <w:tcW w:type="dxa" w:w="4968"/>
          </w:tcPr>
          <w:p>
            <w:r>
              <w:t>Finance Director - Olivia Bennett</w:t>
            </w:r>
          </w:p>
        </w:tc>
        <w:tc>
          <w:tcPr>
            <w:tcW w:type="dxa" w:w="4968"/>
          </w:tcPr>
          <w:p>
            <w:r>
              <w:t>Owns the finance policy framework and approves material operating and capital expenditure.</w:t>
            </w:r>
          </w:p>
        </w:tc>
      </w:tr>
      <w:tr>
        <w:tc>
          <w:tcPr>
            <w:tcW w:type="dxa" w:w="4968"/>
          </w:tcPr>
          <w:p>
            <w:r>
              <w:t>Financial Controller - Priya Nair</w:t>
            </w:r>
          </w:p>
        </w:tc>
        <w:tc>
          <w:tcPr>
            <w:tcW w:type="dxa" w:w="4968"/>
          </w:tcPr>
          <w:p>
            <w:r>
              <w:t>Owns month-end close, journals, accruals, prepayments, reconciliations and finance document retention.</w:t>
            </w:r>
          </w:p>
        </w:tc>
      </w:tr>
      <w:tr>
        <w:tc>
          <w:tcPr>
            <w:tcW w:type="dxa" w:w="4968"/>
          </w:tcPr>
          <w:p>
            <w:r>
              <w:t>Head of FP&amp;A - Daniel Wu</w:t>
            </w:r>
          </w:p>
        </w:tc>
        <w:tc>
          <w:tcPr>
            <w:tcW w:type="dxa" w:w="4968"/>
          </w:tcPr>
          <w:p>
            <w:r>
              <w:t>Owns departmental forecasting, consolidation, challenge and executive forecast reporting.</w:t>
            </w:r>
          </w:p>
        </w:tc>
      </w:tr>
      <w:tr>
        <w:tc>
          <w:tcPr>
            <w:tcW w:type="dxa" w:w="4968"/>
          </w:tcPr>
          <w:p>
            <w:r>
              <w:t>Department Directors</w:t>
            </w:r>
          </w:p>
        </w:tc>
        <w:tc>
          <w:tcPr>
            <w:tcW w:type="dxa" w:w="4968"/>
          </w:tcPr>
          <w:p>
            <w:r>
              <w:t>Ensure expenditure is authorised, forecasts are complete and supporting documentation is retained.</w:t>
            </w:r>
          </w:p>
        </w:tc>
      </w:tr>
    </w:tbl>
    <w:p>
      <w:pPr>
        <w:pStyle w:val="Heading2"/>
      </w:pPr>
      <w:r>
        <w:t>1.4 Policy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Policy ID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Policy title</w:t>
            </w:r>
          </w:p>
        </w:tc>
      </w:tr>
      <w:tr>
        <w:tc>
          <w:tcPr>
            <w:tcW w:type="dxa" w:w="3312"/>
          </w:tcPr>
          <w:p>
            <w:r>
              <w:t>POL_001</w:t>
            </w:r>
          </w:p>
        </w:tc>
        <w:tc>
          <w:tcPr>
            <w:tcW w:type="dxa" w:w="3312"/>
          </w:tcPr>
          <w:p>
            <w:r>
              <w:t>Month-end close</w:t>
            </w:r>
          </w:p>
        </w:tc>
        <w:tc>
          <w:tcPr>
            <w:tcW w:type="dxa" w:w="3312"/>
          </w:tcPr>
          <w:p>
            <w:r>
              <w:t>Month-end close timetable</w:t>
            </w:r>
          </w:p>
        </w:tc>
      </w:tr>
      <w:tr>
        <w:tc>
          <w:tcPr>
            <w:tcW w:type="dxa" w:w="3312"/>
          </w:tcPr>
          <w:p>
            <w:r>
              <w:t>POL_002</w:t>
            </w:r>
          </w:p>
        </w:tc>
        <w:tc>
          <w:tcPr>
            <w:tcW w:type="dxa" w:w="3312"/>
          </w:tcPr>
          <w:p>
            <w:r>
              <w:t>Accruals</w:t>
            </w:r>
          </w:p>
        </w:tc>
        <w:tc>
          <w:tcPr>
            <w:tcW w:type="dxa" w:w="3312"/>
          </w:tcPr>
          <w:p>
            <w:r>
              <w:t>Accrual recognition and review</w:t>
            </w:r>
          </w:p>
        </w:tc>
      </w:tr>
      <w:tr>
        <w:tc>
          <w:tcPr>
            <w:tcW w:type="dxa" w:w="3312"/>
          </w:tcPr>
          <w:p>
            <w:r>
              <w:t>POL_003</w:t>
            </w:r>
          </w:p>
        </w:tc>
        <w:tc>
          <w:tcPr>
            <w:tcW w:type="dxa" w:w="3312"/>
          </w:tcPr>
          <w:p>
            <w:r>
              <w:t>Prepayments</w:t>
            </w:r>
          </w:p>
        </w:tc>
        <w:tc>
          <w:tcPr>
            <w:tcW w:type="dxa" w:w="3312"/>
          </w:tcPr>
          <w:p>
            <w:r>
              <w:t>Prepayment recognition</w:t>
            </w:r>
          </w:p>
        </w:tc>
      </w:tr>
      <w:tr>
        <w:tc>
          <w:tcPr>
            <w:tcW w:type="dxa" w:w="3312"/>
          </w:tcPr>
          <w:p>
            <w:r>
              <w:t>POL_004</w:t>
            </w:r>
          </w:p>
        </w:tc>
        <w:tc>
          <w:tcPr>
            <w:tcW w:type="dxa" w:w="3312"/>
          </w:tcPr>
          <w:p>
            <w:r>
              <w:t>Operating expenditure</w:t>
            </w:r>
          </w:p>
        </w:tc>
        <w:tc>
          <w:tcPr>
            <w:tcW w:type="dxa" w:w="3312"/>
          </w:tcPr>
          <w:p>
            <w:r>
              <w:t>Operating expenditure approval</w:t>
            </w:r>
          </w:p>
        </w:tc>
      </w:tr>
      <w:tr>
        <w:tc>
          <w:tcPr>
            <w:tcW w:type="dxa" w:w="3312"/>
          </w:tcPr>
          <w:p>
            <w:r>
              <w:t>POL_005</w:t>
            </w:r>
          </w:p>
        </w:tc>
        <w:tc>
          <w:tcPr>
            <w:tcW w:type="dxa" w:w="3312"/>
          </w:tcPr>
          <w:p>
            <w:r>
              <w:t>Procurement</w:t>
            </w:r>
          </w:p>
        </w:tc>
        <w:tc>
          <w:tcPr>
            <w:tcW w:type="dxa" w:w="3312"/>
          </w:tcPr>
          <w:p>
            <w:r>
              <w:t>Purchase order requirements</w:t>
            </w:r>
          </w:p>
        </w:tc>
      </w:tr>
      <w:tr>
        <w:tc>
          <w:tcPr>
            <w:tcW w:type="dxa" w:w="3312"/>
          </w:tcPr>
          <w:p>
            <w:r>
              <w:t>POL_006</w:t>
            </w:r>
          </w:p>
        </w:tc>
        <w:tc>
          <w:tcPr>
            <w:tcW w:type="dxa" w:w="3312"/>
          </w:tcPr>
          <w:p>
            <w:r>
              <w:t>Capital expenditure</w:t>
            </w:r>
          </w:p>
        </w:tc>
        <w:tc>
          <w:tcPr>
            <w:tcW w:type="dxa" w:w="3312"/>
          </w:tcPr>
          <w:p>
            <w:r>
              <w:t>Capital expenditure approval</w:t>
            </w:r>
          </w:p>
        </w:tc>
      </w:tr>
      <w:tr>
        <w:tc>
          <w:tcPr>
            <w:tcW w:type="dxa" w:w="3312"/>
          </w:tcPr>
          <w:p>
            <w:r>
              <w:t>POL_007</w:t>
            </w:r>
          </w:p>
        </w:tc>
        <w:tc>
          <w:tcPr>
            <w:tcW w:type="dxa" w:w="3312"/>
          </w:tcPr>
          <w:p>
            <w:r>
              <w:t>Manual journals</w:t>
            </w:r>
          </w:p>
        </w:tc>
        <w:tc>
          <w:tcPr>
            <w:tcW w:type="dxa" w:w="3312"/>
          </w:tcPr>
          <w:p>
            <w:r>
              <w:t>Manual journal preparation and approval</w:t>
            </w:r>
          </w:p>
        </w:tc>
      </w:tr>
      <w:tr>
        <w:tc>
          <w:tcPr>
            <w:tcW w:type="dxa" w:w="3312"/>
          </w:tcPr>
          <w:p>
            <w:r>
              <w:t>POL_008</w:t>
            </w:r>
          </w:p>
        </w:tc>
        <w:tc>
          <w:tcPr>
            <w:tcW w:type="dxa" w:w="3312"/>
          </w:tcPr>
          <w:p>
            <w:r>
              <w:t>Balance sheet reconciliations</w:t>
            </w:r>
          </w:p>
        </w:tc>
        <w:tc>
          <w:tcPr>
            <w:tcW w:type="dxa" w:w="3312"/>
          </w:tcPr>
          <w:p>
            <w:r>
              <w:t>Balance sheet reconciliation timetable</w:t>
            </w:r>
          </w:p>
        </w:tc>
      </w:tr>
      <w:tr>
        <w:tc>
          <w:tcPr>
            <w:tcW w:type="dxa" w:w="3312"/>
          </w:tcPr>
          <w:p>
            <w:r>
              <w:t>POL_009</w:t>
            </w:r>
          </w:p>
        </w:tc>
        <w:tc>
          <w:tcPr>
            <w:tcW w:type="dxa" w:w="3312"/>
          </w:tcPr>
          <w:p>
            <w:r>
              <w:t>Document retention</w:t>
            </w:r>
          </w:p>
        </w:tc>
        <w:tc>
          <w:tcPr>
            <w:tcW w:type="dxa" w:w="3312"/>
          </w:tcPr>
          <w:p>
            <w:r>
              <w:t>Finance document retention</w:t>
            </w:r>
          </w:p>
        </w:tc>
      </w:tr>
      <w:tr>
        <w:tc>
          <w:tcPr>
            <w:tcW w:type="dxa" w:w="3312"/>
          </w:tcPr>
          <w:p>
            <w:r>
              <w:t>POL_010</w:t>
            </w:r>
          </w:p>
        </w:tc>
        <w:tc>
          <w:tcPr>
            <w:tcW w:type="dxa" w:w="3312"/>
          </w:tcPr>
          <w:p>
            <w:r>
              <w:t>Forecasting</w:t>
            </w:r>
          </w:p>
        </w:tc>
        <w:tc>
          <w:tcPr>
            <w:tcW w:type="dxa" w:w="3312"/>
          </w:tcPr>
          <w:p>
            <w:r>
              <w:t>Departmental forecast submissions</w:t>
            </w:r>
          </w:p>
        </w:tc>
      </w:tr>
    </w:tbl>
    <w:p>
      <w:r>
        <w:br w:type="page"/>
      </w:r>
    </w:p>
    <w:p>
      <w:pPr>
        <w:pStyle w:val="Heading1"/>
      </w:pPr>
      <w:r>
        <w:t>2. Month-end close timetable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POL_001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Month-end close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Priya Nair - Financial Controller</w:t>
            </w:r>
          </w:p>
        </w:tc>
      </w:tr>
    </w:tbl>
    <w:p/>
    <w:p>
      <w:pPr>
        <w:pStyle w:val="Heading2"/>
      </w:pPr>
      <w:r>
        <w:t>Policy requirements</w:t>
      </w:r>
    </w:p>
    <w:p>
      <w:pPr>
        <w:pStyle w:val="ListBullet"/>
        <w:spacing w:after="60"/>
      </w:pPr>
      <w:r>
        <w:t>Departmental accrual submissions are due by 12:00 noon on business day 2.</w:t>
      </w:r>
    </w:p>
    <w:p>
      <w:pPr>
        <w:pStyle w:val="ListBullet"/>
        <w:spacing w:after="60"/>
      </w:pPr>
      <w:r>
        <w:t>Standard and recurring journals must be posted by the end of business day 3.</w:t>
      </w:r>
    </w:p>
    <w:p>
      <w:pPr>
        <w:pStyle w:val="ListBullet"/>
        <w:spacing w:after="60"/>
      </w:pPr>
      <w:r>
        <w:t>The general ledger must be closed by 17:00 on business day 5.</w:t>
      </w:r>
    </w:p>
    <w:p>
      <w:pPr>
        <w:pStyle w:val="ListBullet"/>
        <w:spacing w:after="60"/>
      </w:pPr>
      <w:r>
        <w:t>Late journals require approval from the Financial Controller.</w:t>
      </w:r>
    </w:p>
    <w:p>
      <w:r>
        <w:br w:type="page"/>
      </w:r>
    </w:p>
    <w:p>
      <w:pPr>
        <w:pStyle w:val="Heading1"/>
      </w:pPr>
      <w:r>
        <w:t>3. Accrual recognition and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POL_002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Accruals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Priya Nair - Financial Controller</w:t>
            </w:r>
          </w:p>
        </w:tc>
      </w:tr>
    </w:tbl>
    <w:p/>
    <w:p>
      <w:pPr>
        <w:pStyle w:val="Heading2"/>
      </w:pPr>
      <w:r>
        <w:t>Policy requirements</w:t>
      </w:r>
    </w:p>
    <w:p>
      <w:pPr>
        <w:pStyle w:val="ListBullet"/>
        <w:spacing w:after="60"/>
      </w:pPr>
      <w:r>
        <w:t>An accrual is required when goods or services have been received but the supplier invoice has not been recorded.</w:t>
      </w:r>
    </w:p>
    <w:p>
      <w:pPr>
        <w:pStyle w:val="ListBullet"/>
        <w:spacing w:after="60"/>
      </w:pPr>
      <w:r>
        <w:t>The minimum accrual threshold is AUD 5,000 per individual item.</w:t>
      </w:r>
    </w:p>
    <w:p>
      <w:pPr>
        <w:pStyle w:val="ListBullet"/>
        <w:spacing w:after="60"/>
      </w:pPr>
      <w:r>
        <w:t>Accruals must be supported by a purchase order, contract, supplier estimate or other reasonable calculation.</w:t>
      </w:r>
    </w:p>
    <w:p>
      <w:pPr>
        <w:pStyle w:val="ListBullet"/>
        <w:spacing w:after="60"/>
      </w:pPr>
      <w:r>
        <w:t>Accruals must be reviewed each month and reversed when the related invoice is recorded.</w:t>
      </w:r>
    </w:p>
    <w:p>
      <w:r>
        <w:br w:type="page"/>
      </w:r>
    </w:p>
    <w:p>
      <w:pPr>
        <w:pStyle w:val="Heading1"/>
      </w:pPr>
      <w:r>
        <w:t>4. Prepayment recognition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POL_003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Prepayments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Priya Nair - Financial Controller</w:t>
            </w:r>
          </w:p>
        </w:tc>
      </w:tr>
    </w:tbl>
    <w:p/>
    <w:p>
      <w:pPr>
        <w:pStyle w:val="Heading2"/>
      </w:pPr>
      <w:r>
        <w:t>Policy requirements</w:t>
      </w:r>
    </w:p>
    <w:p>
      <w:pPr>
        <w:pStyle w:val="ListBullet"/>
        <w:spacing w:after="60"/>
      </w:pPr>
      <w:r>
        <w:t>A payment must be recorded as a prepayment when it is at least AUD 12,000 and the benefit extends for more than three months.</w:t>
      </w:r>
    </w:p>
    <w:p>
      <w:pPr>
        <w:pStyle w:val="ListBullet"/>
        <w:spacing w:after="60"/>
      </w:pPr>
      <w:r>
        <w:t>Prepayments must be amortised monthly over the period in which the economic benefit is received.</w:t>
      </w:r>
    </w:p>
    <w:p>
      <w:pPr>
        <w:pStyle w:val="ListBullet"/>
        <w:spacing w:after="60"/>
      </w:pPr>
      <w:r>
        <w:t>The supporting schedule must show the supplier, total amount, service period and monthly release.</w:t>
      </w:r>
    </w:p>
    <w:p>
      <w:r>
        <w:br w:type="page"/>
      </w:r>
    </w:p>
    <w:p>
      <w:pPr>
        <w:pStyle w:val="Heading1"/>
      </w:pPr>
      <w:r>
        <w:t>5. Operating expenditure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POL_004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Operating expenditure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Olivia Bennett - Finance Director</w:t>
            </w:r>
          </w:p>
        </w:tc>
      </w:tr>
    </w:tbl>
    <w:p/>
    <w:p>
      <w:pPr>
        <w:pStyle w:val="Heading2"/>
      </w:pPr>
      <w:r>
        <w:t>Approval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Minimum amount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Maximum amount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Required approvers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 0</w:t>
            </w:r>
          </w:p>
        </w:tc>
        <w:tc>
          <w:tcPr>
            <w:tcW w:type="dxa" w:w="3312"/>
            <w:vAlign w:val="center"/>
          </w:tcPr>
          <w:p>
            <w:r>
              <w:t>AUD 5,000</w:t>
            </w:r>
          </w:p>
        </w:tc>
        <w:tc>
          <w:tcPr>
            <w:tcW w:type="dxa" w:w="3312"/>
            <w:vAlign w:val="center"/>
          </w:tcPr>
          <w:p>
            <w:r>
              <w:t>Department Manager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 5,001</w:t>
            </w:r>
          </w:p>
        </w:tc>
        <w:tc>
          <w:tcPr>
            <w:tcW w:type="dxa" w:w="3312"/>
            <w:vAlign w:val="center"/>
          </w:tcPr>
          <w:p>
            <w:r>
              <w:t>AUD 25,000</w:t>
            </w:r>
          </w:p>
        </w:tc>
        <w:tc>
          <w:tcPr>
            <w:tcW w:type="dxa" w:w="3312"/>
            <w:vAlign w:val="center"/>
          </w:tcPr>
          <w:p>
            <w:r>
              <w:t>Department Director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 25,001</w:t>
            </w:r>
          </w:p>
        </w:tc>
        <w:tc>
          <w:tcPr>
            <w:tcW w:type="dxa" w:w="3312"/>
            <w:vAlign w:val="center"/>
          </w:tcPr>
          <w:p>
            <w:r>
              <w:t>AUD 100,000</w:t>
            </w:r>
          </w:p>
        </w:tc>
        <w:tc>
          <w:tcPr>
            <w:tcW w:type="dxa" w:w="3312"/>
            <w:vAlign w:val="center"/>
          </w:tcPr>
          <w:p>
            <w:r>
              <w:t>Department Director; Finance Director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 100,001</w:t>
            </w:r>
          </w:p>
        </w:tc>
        <w:tc>
          <w:tcPr>
            <w:tcW w:type="dxa" w:w="3312"/>
            <w:vAlign w:val="center"/>
          </w:tcPr>
          <w:p>
            <w:r>
              <w:t>No upper limit</w:t>
            </w:r>
          </w:p>
        </w:tc>
        <w:tc>
          <w:tcPr>
            <w:tcW w:type="dxa" w:w="3312"/>
            <w:vAlign w:val="center"/>
          </w:tcPr>
          <w:p>
            <w:r>
              <w:t>Finance Director; Chief Executive Officer</w:t>
            </w:r>
          </w:p>
        </w:tc>
      </w:tr>
    </w:tbl>
    <w:p>
      <w:r>
        <w:br w:type="page"/>
      </w:r>
    </w:p>
    <w:p>
      <w:pPr>
        <w:pStyle w:val="Heading1"/>
      </w:pPr>
      <w:r>
        <w:t>6. Purchase order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POL_005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Procurement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Olivia Bennett - Finance Director</w:t>
            </w:r>
          </w:p>
        </w:tc>
      </w:tr>
    </w:tbl>
    <w:p/>
    <w:p>
      <w:pPr>
        <w:pStyle w:val="Heading2"/>
      </w:pPr>
      <w:r>
        <w:t>Policy requirements</w:t>
      </w:r>
    </w:p>
    <w:p>
      <w:pPr>
        <w:pStyle w:val="ListBullet"/>
        <w:spacing w:after="60"/>
      </w:pPr>
      <w:r>
        <w:t>A purchase order must be approved before committing Harbour Retail Group to goods or services above AUD 5,000.</w:t>
      </w:r>
    </w:p>
    <w:p>
      <w:pPr>
        <w:pStyle w:val="ListBullet"/>
        <w:spacing w:after="60"/>
      </w:pPr>
      <w:r>
        <w:t>Splitting a purchase into smaller amounts to avoid the threshold is prohibited.</w:t>
      </w:r>
    </w:p>
    <w:p>
      <w:pPr>
        <w:pStyle w:val="ListBullet"/>
        <w:spacing w:after="60"/>
      </w:pPr>
      <w:r>
        <w:t>Payroll, taxes, rent, regulated utilities and emergency expenditure approved by the Finance Director are exempt.</w:t>
      </w:r>
    </w:p>
    <w:p>
      <w:pPr>
        <w:pStyle w:val="ListBullet"/>
        <w:spacing w:after="60"/>
      </w:pPr>
      <w:r>
        <w:t>Invoices without a valid purchase order may be returned to the requesting department.</w:t>
      </w:r>
    </w:p>
    <w:p>
      <w:r>
        <w:br w:type="page"/>
      </w:r>
    </w:p>
    <w:p>
      <w:pPr>
        <w:pStyle w:val="Heading1"/>
      </w:pPr>
      <w:r>
        <w:t>7. Capital expenditure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POL_006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Capital expenditure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Olivia Bennett - Finance Director</w:t>
            </w:r>
          </w:p>
        </w:tc>
      </w:tr>
    </w:tbl>
    <w:p/>
    <w:p>
      <w:pPr>
        <w:pStyle w:val="Heading2"/>
      </w:pPr>
      <w:r>
        <w:t>Approval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Minimum amount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Maximum amount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Required approvers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 0</w:t>
            </w:r>
          </w:p>
        </w:tc>
        <w:tc>
          <w:tcPr>
            <w:tcW w:type="dxa" w:w="3312"/>
            <w:vAlign w:val="center"/>
          </w:tcPr>
          <w:p>
            <w:r>
              <w:t>AUD 50,000</w:t>
            </w:r>
          </w:p>
        </w:tc>
        <w:tc>
          <w:tcPr>
            <w:tcW w:type="dxa" w:w="3312"/>
            <w:vAlign w:val="center"/>
          </w:tcPr>
          <w:p>
            <w:r>
              <w:t>Department Director; Finance Director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 50,001</w:t>
            </w:r>
          </w:p>
        </w:tc>
        <w:tc>
          <w:tcPr>
            <w:tcW w:type="dxa" w:w="3312"/>
            <w:vAlign w:val="center"/>
          </w:tcPr>
          <w:p>
            <w:r>
              <w:t>AUD 250,000</w:t>
            </w:r>
          </w:p>
        </w:tc>
        <w:tc>
          <w:tcPr>
            <w:tcW w:type="dxa" w:w="3312"/>
            <w:vAlign w:val="center"/>
          </w:tcPr>
          <w:p>
            <w:r>
              <w:t>Finance Director; Chief Executive Officer</w:t>
            </w:r>
          </w:p>
        </w:tc>
      </w:tr>
      <w:tr>
        <w:tc>
          <w:tcPr>
            <w:tcW w:type="dxa" w:w="3312"/>
            <w:vAlign w:val="center"/>
          </w:tcPr>
          <w:p>
            <w:r>
              <w:t>AUD 250,001</w:t>
            </w:r>
          </w:p>
        </w:tc>
        <w:tc>
          <w:tcPr>
            <w:tcW w:type="dxa" w:w="3312"/>
            <w:vAlign w:val="center"/>
          </w:tcPr>
          <w:p>
            <w:r>
              <w:t>No upper limit</w:t>
            </w:r>
          </w:p>
        </w:tc>
        <w:tc>
          <w:tcPr>
            <w:tcW w:type="dxa" w:w="3312"/>
            <w:vAlign w:val="center"/>
          </w:tcPr>
          <w:p>
            <w:r>
              <w:t>Finance Director; Chief Executive Officer; Board of Directors</w:t>
            </w:r>
          </w:p>
        </w:tc>
      </w:tr>
    </w:tbl>
    <w:p>
      <w:pPr>
        <w:pStyle w:val="Heading2"/>
      </w:pPr>
      <w:r>
        <w:t>Additional requirements</w:t>
      </w:r>
    </w:p>
    <w:p>
      <w:pPr>
        <w:pStyle w:val="ListBullet"/>
        <w:spacing w:after="60"/>
      </w:pPr>
      <w:r>
        <w:t>Capital expenditure above AUD 50,000 requires a documented business case.</w:t>
      </w:r>
    </w:p>
    <w:p>
      <w:pPr>
        <w:pStyle w:val="ListBullet"/>
        <w:spacing w:after="60"/>
      </w:pPr>
      <w:r>
        <w:t>The business case must include expected benefits, implementation cost, timing, risks and financial return.</w:t>
      </w:r>
    </w:p>
    <w:p>
      <w:pPr>
        <w:pStyle w:val="ListBullet"/>
        <w:spacing w:after="60"/>
      </w:pPr>
      <w:r>
        <w:t>Projects may not be divided into smaller components to avoid an approval threshold.</w:t>
      </w:r>
    </w:p>
    <w:p>
      <w:r>
        <w:br w:type="page"/>
      </w:r>
    </w:p>
    <w:p>
      <w:pPr>
        <w:pStyle w:val="Heading1"/>
      </w:pPr>
      <w:r>
        <w:t>8. Manual journal preparation and approval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POL_007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Manual journals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Priya Nair - Financial Controller</w:t>
            </w:r>
          </w:p>
        </w:tc>
      </w:tr>
    </w:tbl>
    <w:p/>
    <w:p>
      <w:pPr>
        <w:pStyle w:val="Heading2"/>
      </w:pPr>
      <w:r>
        <w:t>Policy requirements</w:t>
      </w:r>
    </w:p>
    <w:p>
      <w:pPr>
        <w:pStyle w:val="ListBullet"/>
        <w:spacing w:after="60"/>
      </w:pPr>
      <w:r>
        <w:t>Every manual journal must include a clear description, calculation and supporting documentation.</w:t>
      </w:r>
    </w:p>
    <w:p>
      <w:pPr>
        <w:pStyle w:val="ListBullet"/>
        <w:spacing w:after="60"/>
      </w:pPr>
      <w:r>
        <w:t>The preparer and approver must be different people.</w:t>
      </w:r>
    </w:p>
    <w:p>
      <w:pPr>
        <w:pStyle w:val="ListBullet"/>
        <w:spacing w:after="60"/>
      </w:pPr>
      <w:r>
        <w:t>A journal preparer may not approve their own journal.</w:t>
      </w:r>
    </w:p>
    <w:p>
      <w:pPr>
        <w:pStyle w:val="ListBullet"/>
        <w:spacing w:after="60"/>
      </w:pPr>
      <w:r>
        <w:t>Journals above AUD 100,000 require approval from the Financial Controller.</w:t>
      </w:r>
    </w:p>
    <w:p>
      <w:r>
        <w:br w:type="page"/>
      </w:r>
    </w:p>
    <w:p>
      <w:pPr>
        <w:pStyle w:val="Heading1"/>
      </w:pPr>
      <w:r>
        <w:t>9. Balance sheet reconciliation timetable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POL_008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Balance sheet reconciliations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Priya Nair - Financial Controller</w:t>
            </w:r>
          </w:p>
        </w:tc>
      </w:tr>
    </w:tbl>
    <w:p/>
    <w:p>
      <w:pPr>
        <w:pStyle w:val="Heading2"/>
      </w:pPr>
      <w:r>
        <w:t>Policy requirements</w:t>
      </w:r>
    </w:p>
    <w:p>
      <w:pPr>
        <w:pStyle w:val="ListBullet"/>
        <w:spacing w:after="60"/>
      </w:pPr>
      <w:r>
        <w:t>All balance sheet accounts must be reconciled monthly.</w:t>
      </w:r>
    </w:p>
    <w:p>
      <w:pPr>
        <w:pStyle w:val="ListBullet"/>
        <w:spacing w:after="60"/>
      </w:pPr>
      <w:r>
        <w:t>Preparers must complete reconciliations by business day 7.</w:t>
      </w:r>
    </w:p>
    <w:p>
      <w:pPr>
        <w:pStyle w:val="ListBullet"/>
        <w:spacing w:after="60"/>
      </w:pPr>
      <w:r>
        <w:t>Reviewers must complete their review by business day 10.</w:t>
      </w:r>
    </w:p>
    <w:p>
      <w:pPr>
        <w:pStyle w:val="ListBullet"/>
        <w:spacing w:after="60"/>
      </w:pPr>
      <w:r>
        <w:t>Reconciling items older than 60 days must include an owner and a documented resolution date.</w:t>
      </w:r>
    </w:p>
    <w:p>
      <w:r>
        <w:br w:type="page"/>
      </w:r>
    </w:p>
    <w:p>
      <w:pPr>
        <w:pStyle w:val="Heading1"/>
      </w:pPr>
      <w:r>
        <w:t>10. Finance document retention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POL_009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Document retention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Priya Nair - Financial Controller</w:t>
            </w:r>
          </w:p>
        </w:tc>
      </w:tr>
    </w:tbl>
    <w:p/>
    <w:p>
      <w:pPr>
        <w:pStyle w:val="Heading2"/>
      </w:pPr>
      <w:r>
        <w:t>Policy requirements</w:t>
      </w:r>
    </w:p>
    <w:p>
      <w:pPr>
        <w:pStyle w:val="ListBullet"/>
        <w:spacing w:after="60"/>
      </w:pPr>
      <w:r>
        <w:t>Accounting records and supporting documents must be retained for seven years.</w:t>
      </w:r>
    </w:p>
    <w:p>
      <w:pPr>
        <w:pStyle w:val="ListBullet"/>
        <w:spacing w:after="60"/>
      </w:pPr>
      <w:r>
        <w:t>Electronic records must be stored in an approved company system.</w:t>
      </w:r>
    </w:p>
    <w:p>
      <w:pPr>
        <w:pStyle w:val="ListBullet"/>
        <w:spacing w:after="60"/>
      </w:pPr>
      <w:r>
        <w:t>Documents subject to an audit, investigation or legal hold must not be destroyed.</w:t>
      </w:r>
    </w:p>
    <w:p>
      <w:r>
        <w:br w:type="page"/>
      </w:r>
    </w:p>
    <w:p>
      <w:pPr>
        <w:pStyle w:val="Heading1"/>
      </w:pPr>
      <w:r>
        <w:t>11. Departmental forecast submissions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Policy ID</w:t>
            </w:r>
          </w:p>
        </w:tc>
        <w:tc>
          <w:tcPr>
            <w:tcW w:type="dxa" w:w="4968"/>
          </w:tcPr>
          <w:p>
            <w:r>
              <w:t>POL_010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section</w:t>
            </w:r>
          </w:p>
        </w:tc>
        <w:tc>
          <w:tcPr>
            <w:tcW w:type="dxa" w:w="4968"/>
          </w:tcPr>
          <w:p>
            <w:r>
              <w:t>Forecasting</w:t>
            </w:r>
          </w:p>
        </w:tc>
      </w:tr>
      <w:tr>
        <w:tc>
          <w:tcPr>
            <w:tcW w:type="dxa" w:w="4968"/>
            <w:shd w:fill="D9EAF7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968"/>
          </w:tcPr>
          <w:p>
            <w:r>
              <w:t>Daniel Wu - Head of FP&amp;A</w:t>
            </w:r>
          </w:p>
        </w:tc>
      </w:tr>
    </w:tbl>
    <w:p/>
    <w:p>
      <w:pPr>
        <w:pStyle w:val="Heading2"/>
      </w:pPr>
      <w:r>
        <w:t>Policy requirements</w:t>
      </w:r>
    </w:p>
    <w:p>
      <w:pPr>
        <w:pStyle w:val="ListBullet"/>
        <w:spacing w:after="60"/>
      </w:pPr>
      <w:r>
        <w:t>Department Directors are responsible for the completeness and reasonableness of their forecasts.</w:t>
      </w:r>
    </w:p>
    <w:p>
      <w:pPr>
        <w:pStyle w:val="ListBullet"/>
        <w:spacing w:after="60"/>
      </w:pPr>
      <w:r>
        <w:t>Forecast submissions must explain material changes to revenue, expenditure, headcount and capital expenditure.</w:t>
      </w:r>
    </w:p>
    <w:p>
      <w:pPr>
        <w:pStyle w:val="ListBullet"/>
        <w:spacing w:after="60"/>
      </w:pPr>
      <w:r>
        <w:t>Material forecast movements above AUD 100,000 require written commentary.</w:t>
      </w:r>
    </w:p>
    <w:p>
      <w:pPr>
        <w:pStyle w:val="ListBullet"/>
        <w:spacing w:after="60"/>
      </w:pPr>
      <w:r>
        <w:t>The Head of FP&amp;A consolidates and challenges departmental submissions before executive review.</w:t>
      </w:r>
    </w:p>
    <w:p>
      <w:r>
        <w:br w:type="page"/>
      </w:r>
    </w:p>
    <w:p>
      <w:pPr>
        <w:pStyle w:val="Heading1"/>
      </w:pPr>
      <w:r>
        <w:t>12. Appendix - key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3312"/>
          </w:tcPr>
          <w:p>
            <w:r>
              <w:t>Accrual</w:t>
            </w:r>
          </w:p>
        </w:tc>
        <w:tc>
          <w:tcPr>
            <w:tcW w:type="dxa" w:w="3312"/>
          </w:tcPr>
          <w:p>
            <w:r>
              <w:t>AUD 5,000</w:t>
            </w:r>
          </w:p>
        </w:tc>
        <w:tc>
          <w:tcPr>
            <w:tcW w:type="dxa" w:w="3312"/>
          </w:tcPr>
          <w:p>
            <w:r>
              <w:t>Minimum individual accrual threshold</w:t>
            </w:r>
          </w:p>
        </w:tc>
      </w:tr>
      <w:tr>
        <w:tc>
          <w:tcPr>
            <w:tcW w:type="dxa" w:w="3312"/>
          </w:tcPr>
          <w:p>
            <w:r>
              <w:t>Prepayment</w:t>
            </w:r>
          </w:p>
        </w:tc>
        <w:tc>
          <w:tcPr>
            <w:tcW w:type="dxa" w:w="3312"/>
          </w:tcPr>
          <w:p>
            <w:r>
              <w:t>AUD 12,000</w:t>
            </w:r>
          </w:p>
        </w:tc>
        <w:tc>
          <w:tcPr>
            <w:tcW w:type="dxa" w:w="3312"/>
          </w:tcPr>
          <w:p>
            <w:r>
              <w:t>Must also provide benefit for more than three months</w:t>
            </w:r>
          </w:p>
        </w:tc>
      </w:tr>
      <w:tr>
        <w:tc>
          <w:tcPr>
            <w:tcW w:type="dxa" w:w="3312"/>
          </w:tcPr>
          <w:p>
            <w:r>
              <w:t>Purchase order</w:t>
            </w:r>
          </w:p>
        </w:tc>
        <w:tc>
          <w:tcPr>
            <w:tcW w:type="dxa" w:w="3312"/>
          </w:tcPr>
          <w:p>
            <w:r>
              <w:t>Above AUD 5,000</w:t>
            </w:r>
          </w:p>
        </w:tc>
        <w:tc>
          <w:tcPr>
            <w:tcW w:type="dxa" w:w="3312"/>
          </w:tcPr>
          <w:p>
            <w:r>
              <w:t>Must be approved before committing expenditure</w:t>
            </w:r>
          </w:p>
        </w:tc>
      </w:tr>
      <w:tr>
        <w:tc>
          <w:tcPr>
            <w:tcW w:type="dxa" w:w="3312"/>
          </w:tcPr>
          <w:p>
            <w:r>
              <w:t>Manual journal</w:t>
            </w:r>
          </w:p>
        </w:tc>
        <w:tc>
          <w:tcPr>
            <w:tcW w:type="dxa" w:w="3312"/>
          </w:tcPr>
          <w:p>
            <w:r>
              <w:t>Above AUD 100,000</w:t>
            </w:r>
          </w:p>
        </w:tc>
        <w:tc>
          <w:tcPr>
            <w:tcW w:type="dxa" w:w="3312"/>
          </w:tcPr>
          <w:p>
            <w:r>
              <w:t>Requires Financial Controller approval</w:t>
            </w:r>
          </w:p>
        </w:tc>
      </w:tr>
      <w:tr>
        <w:tc>
          <w:tcPr>
            <w:tcW w:type="dxa" w:w="3312"/>
          </w:tcPr>
          <w:p>
            <w:r>
              <w:t>Capex business case</w:t>
            </w:r>
          </w:p>
        </w:tc>
        <w:tc>
          <w:tcPr>
            <w:tcW w:type="dxa" w:w="3312"/>
          </w:tcPr>
          <w:p>
            <w:r>
              <w:t>Above AUD 50,000</w:t>
            </w:r>
          </w:p>
        </w:tc>
        <w:tc>
          <w:tcPr>
            <w:tcW w:type="dxa" w:w="3312"/>
          </w:tcPr>
          <w:p>
            <w:r>
              <w:t>Documented business case required</w:t>
            </w:r>
          </w:p>
        </w:tc>
      </w:tr>
      <w:tr>
        <w:tc>
          <w:tcPr>
            <w:tcW w:type="dxa" w:w="3312"/>
          </w:tcPr>
          <w:p>
            <w:r>
              <w:t>Board capex approval</w:t>
            </w:r>
          </w:p>
        </w:tc>
        <w:tc>
          <w:tcPr>
            <w:tcW w:type="dxa" w:w="3312"/>
          </w:tcPr>
          <w:p>
            <w:r>
              <w:t>Above AUD 250,000</w:t>
            </w:r>
          </w:p>
        </w:tc>
        <w:tc>
          <w:tcPr>
            <w:tcW w:type="dxa" w:w="3312"/>
          </w:tcPr>
          <w:p>
            <w:r>
              <w:t>Board of Directors approval required</w:t>
            </w:r>
          </w:p>
        </w:tc>
      </w:tr>
      <w:tr>
        <w:tc>
          <w:tcPr>
            <w:tcW w:type="dxa" w:w="3312"/>
          </w:tcPr>
          <w:p>
            <w:r>
              <w:t>Forecast commentary</w:t>
            </w:r>
          </w:p>
        </w:tc>
        <w:tc>
          <w:tcPr>
            <w:tcW w:type="dxa" w:w="3312"/>
          </w:tcPr>
          <w:p>
            <w:r>
              <w:t>Above AUD 100,000</w:t>
            </w:r>
          </w:p>
        </w:tc>
        <w:tc>
          <w:tcPr>
            <w:tcW w:type="dxa" w:w="3312"/>
          </w:tcPr>
          <w:p>
            <w:r>
              <w:t>Written commentary required</w:t>
            </w:r>
          </w:p>
        </w:tc>
      </w:tr>
      <w:tr>
        <w:tc>
          <w:tcPr>
            <w:tcW w:type="dxa" w:w="3312"/>
          </w:tcPr>
          <w:p>
            <w:r>
              <w:t>Record retention</w:t>
            </w:r>
          </w:p>
        </w:tc>
        <w:tc>
          <w:tcPr>
            <w:tcW w:type="dxa" w:w="3312"/>
          </w:tcPr>
          <w:p>
            <w:r>
              <w:t>Seven years</w:t>
            </w:r>
          </w:p>
        </w:tc>
        <w:tc>
          <w:tcPr>
            <w:tcW w:type="dxa" w:w="3312"/>
          </w:tcPr>
          <w:p>
            <w:r>
              <w:t>Accounting records and supporting documentation</w:t>
            </w:r>
          </w:p>
        </w:tc>
      </w:tr>
    </w:tbl>
    <w:p/>
    <w:p>
      <w:pPr>
        <w:jc w:val="center"/>
      </w:pPr>
      <w:r>
        <w:rPr>
          <w:b/>
          <w:color w:val="1F4E79"/>
        </w:rPr>
        <w:t>End of Finance Policies and Procedures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Synthetic finance corpus |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Harbour Retail Group | Finance Policies and Procedures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4444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59595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Policies and Procedures</dc:title>
  <dc:subject>Synthetic finance policies for Harbour Retail Group</dc:subject>
  <dc:creator>Harbour Retail Group</dc:creator>
  <cp:keywords>finance, policy, controls, approvals, month-end,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