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a86e8"/>
          <w:sz w:val="58"/>
          <w:szCs w:val="58"/>
        </w:rPr>
      </w:pPr>
      <w:bookmarkStart w:colFirst="0" w:colLast="0" w:name="_5x0d5h95i329" w:id="0"/>
      <w:bookmarkEnd w:id="0"/>
      <w:r w:rsidDel="00000000" w:rsidR="00000000" w:rsidRPr="00000000">
        <w:rPr>
          <w:b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af80tl7prv5v" w:id="1"/>
      <w:bookmarkEnd w:id="1"/>
      <w:r w:rsidDel="00000000" w:rsidR="00000000" w:rsidRPr="00000000">
        <w:rPr>
          <w:b w:val="1"/>
          <w:sz w:val="28"/>
          <w:szCs w:val="28"/>
          <w:rtl w:val="0"/>
        </w:rPr>
        <w:t xml:space="preserve">Kole Krier 7/31/2023</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e64wndl8jmz1"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May 2023 to July 2023.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before="0" w:line="276" w:lineRule="auto"/>
        <w:rPr/>
      </w:pPr>
      <w:r w:rsidDel="00000000" w:rsidR="00000000" w:rsidRPr="00000000">
        <w:rPr>
          <w:rtl w:val="0"/>
        </w:rPr>
        <w:t xml:space="preserve">The database is valuable to the business since many of the employees work remotely from different places around the world. This means the company keeps information on a remote database server. The company's staff frequently requests data from the server to query for potential customers. Since the business's founding three years ago, the database has been accessible to the general public.  It is important to secure the data because keeping the database server open to the public is a serious vulnerability. In a scenario where the server is disabled it would slow down getting data for customers and potentially result in a loss of data.</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Malicious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Threat source alters or deletes data that is critical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to day-to-day business operations.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Threat source compromises the integrity of</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information in such a way that prevents the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business from carrying out critical operations.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6</w:t>
            </w:r>
          </w:p>
        </w:tc>
      </w:tr>
    </w:tbl>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9">
      <w:pPr>
        <w:rPr/>
      </w:pPr>
      <w:r w:rsidDel="00000000" w:rsidR="00000000" w:rsidRPr="00000000">
        <w:rPr>
          <w:rtl w:val="0"/>
        </w:rPr>
        <w:t xml:space="preserve">The business's methods for data management and storage were taken into account when calculating risks. The likelihood of a security incident given the open access permissions of the information system was used to identify potential threat sources and events. The severity of potential incidents and their effect on ongoing operational requirements were compared.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that only authorized users access the database server, authentication, authorization, and auditing mechanisms must be put in place. To do this, use multi-factor authentication, role-based access controls, and strong passwords to restrict user privileges. data in transit encryption using TLS rather than SSL. IP allow-listing to corporate offices helps stop unauthorized internet users from accessing the database.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