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goe9xzxx0fid" w:id="0"/>
      <w:bookmarkEnd w:id="0"/>
      <w:r w:rsidDel="00000000" w:rsidR="00000000" w:rsidRPr="00000000">
        <w:rPr>
          <w:rFonts w:ascii="Google Sans" w:cs="Google Sans" w:eastAsia="Google Sans" w:hAnsi="Google Sans"/>
          <w:rtl w:val="0"/>
        </w:rPr>
        <w:t xml:space="preserve">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review compliance regulations and standards, read the </w:t>
      </w:r>
      <w:hyperlink r:id="rId6">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numPr>
          <w:ilvl w:val="0"/>
          <w:numId w:val="5"/>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The Federal Energy Regulatory Commission - North American Electric Reliability Corporation (FERC-NERC)</w:t>
      </w:r>
    </w:p>
    <w:p w:rsidR="00000000" w:rsidDel="00000000" w:rsidP="00000000" w:rsidRDefault="00000000" w:rsidRPr="00000000" w14:paraId="0000000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FERC-NERC regulation applies to organizations that work with electricity or that are involved with the U.S. and North American power grid. Organizations have an obligation to prepare for, mitigate, and report any potential security incident that can negatively affect the power grid. Organizations are legally required to adhere to the Critical Infrastructure Protection Reliability Standards (CIP) defined by the FERC. </w:t>
      </w:r>
    </w:p>
    <w:p w:rsidR="00000000" w:rsidDel="00000000" w:rsidP="00000000" w:rsidRDefault="00000000" w:rsidRPr="00000000" w14:paraId="00000006">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7">
      <w:pPr>
        <w:numPr>
          <w:ilvl w:val="0"/>
          <w:numId w:val="3"/>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Data Protection Regulation (GDPR)</w:t>
      </w:r>
    </w:p>
    <w:p w:rsidR="00000000" w:rsidDel="00000000" w:rsidP="00000000" w:rsidRDefault="00000000" w:rsidRPr="00000000" w14:paraId="00000008">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GDPR is a European Union (E.U.) general data regulation that protects the processing of E.U. citizens’ data and their right to privacy in and out of E.U. territory. Additionally, if a breach occurs and a E.U. citizen’s data is compromised, they must be informed within 72 hours of the incident.</w:t>
      </w:r>
    </w:p>
    <w:p w:rsidR="00000000" w:rsidDel="00000000" w:rsidP="00000000" w:rsidRDefault="00000000" w:rsidRPr="00000000" w14:paraId="00000009">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If a European citizen were to buy a product from this company and their data was not securely protected, this law will be inconvenient to the company and is a risk.</w:t>
      </w:r>
      <w:r w:rsidDel="00000000" w:rsidR="00000000" w:rsidRPr="00000000">
        <w:rPr>
          <w:rtl w:val="0"/>
        </w:rPr>
      </w:r>
    </w:p>
    <w:p w:rsidR="00000000" w:rsidDel="00000000" w:rsidP="00000000" w:rsidRDefault="00000000" w:rsidRPr="00000000" w14:paraId="0000000A">
      <w:pPr>
        <w:numPr>
          <w:ilvl w:val="0"/>
          <w:numId w:val="2"/>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Payment Card Industry Data Security Standard (PCI DSS)</w:t>
      </w:r>
    </w:p>
    <w:p w:rsidR="00000000" w:rsidDel="00000000" w:rsidP="00000000" w:rsidRDefault="00000000" w:rsidRPr="00000000" w14:paraId="0000000B">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PCI DSS is an international security standard meant to ensure that organizations storing, accepting, processing, and transmitting credit card information do so in a secure environment. </w:t>
      </w:r>
    </w:p>
    <w:p w:rsidR="00000000" w:rsidDel="00000000" w:rsidP="00000000" w:rsidRDefault="00000000" w:rsidRPr="00000000" w14:paraId="0000000C">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IT team needs to make sure the that the website that the company is working from is using a trusted source or the credit card information, and not allow for any intrusions for SPII.</w:t>
      </w:r>
      <w:r w:rsidDel="00000000" w:rsidR="00000000" w:rsidRPr="00000000">
        <w:rPr>
          <w:rtl w:val="0"/>
        </w:rPr>
      </w:r>
    </w:p>
    <w:p w:rsidR="00000000" w:rsidDel="00000000" w:rsidP="00000000" w:rsidRDefault="00000000" w:rsidRPr="00000000" w14:paraId="0000000D">
      <w:pPr>
        <w:numPr>
          <w:ilvl w:val="0"/>
          <w:numId w:val="1"/>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The Health Insurance Portability and Accountability Act (HIPAA)</w:t>
      </w:r>
    </w:p>
    <w:p w:rsidR="00000000" w:rsidDel="00000000" w:rsidP="00000000" w:rsidRDefault="00000000" w:rsidRPr="00000000" w14:paraId="0000000E">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HIPAA is a federal law established in 1996 to protect U.S. patients’ health information. This law prohibits patient information from being shared without their consent. Organizations have a legal obligation to inform patients of a breach. </w:t>
      </w:r>
    </w:p>
    <w:p w:rsidR="00000000" w:rsidDel="00000000" w:rsidP="00000000" w:rsidRDefault="00000000" w:rsidRPr="00000000" w14:paraId="0000000F">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tl w:val="0"/>
        </w:rPr>
      </w:r>
    </w:p>
    <w:p w:rsidR="00000000" w:rsidDel="00000000" w:rsidP="00000000" w:rsidRDefault="00000000" w:rsidRPr="00000000" w14:paraId="00000010">
      <w:pPr>
        <w:numPr>
          <w:ilvl w:val="0"/>
          <w:numId w:val="4"/>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System and Organizations Controls (SOC type 1, SOC type 2)</w:t>
      </w:r>
    </w:p>
    <w:p w:rsidR="00000000" w:rsidDel="00000000" w:rsidP="00000000" w:rsidRDefault="00000000" w:rsidRPr="00000000" w14:paraId="00000011">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SOC1 and SOC2 are a series of reports that focus on an organization’s user access policies at different organizational levels. They are used to assess an organization’s financial compliance and levels of risk. They also cover confidentiality, privacy, integrity, availability, security, and overall data safety. Control failures in these areas can lead to fraud.</w:t>
      </w:r>
    </w:p>
    <w:p w:rsidR="00000000" w:rsidDel="00000000" w:rsidP="00000000" w:rsidRDefault="00000000" w:rsidRPr="00000000" w14:paraId="00000012">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Botium Toys does not have all of the necessary controls in place and are not adhering to the regulations on keeping customer data private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sera.org/learn/foundations-of-cybersecurity/supplement/xu4pr/controls-frameworks-and-compli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