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goe9xzxx0fid" w:id="0"/>
      <w:bookmarkEnd w:id="0"/>
      <w:r w:rsidDel="00000000" w:rsidR="00000000" w:rsidRPr="00000000">
        <w:rPr>
          <w:rFonts w:ascii="Google Sans" w:cs="Google Sans" w:eastAsia="Google Sans" w:hAnsi="Google Sans"/>
          <w:rtl w:val="0"/>
        </w:rPr>
        <w:t xml:space="preserve">Compliance checklist</w:t>
      </w:r>
    </w:p>
    <w:p w:rsidR="00000000" w:rsidDel="00000000" w:rsidP="00000000" w:rsidRDefault="00000000" w:rsidRPr="00000000" w14:paraId="00000002">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review compliance regulations and standards, read the </w:t>
      </w:r>
      <w:hyperlink r:id="rId6">
        <w:r w:rsidDel="00000000" w:rsidR="00000000" w:rsidRPr="00000000">
          <w:rPr>
            <w:rFonts w:ascii="Google Sans" w:cs="Google Sans" w:eastAsia="Google Sans" w:hAnsi="Google Sans"/>
            <w:color w:val="1155cc"/>
            <w:sz w:val="24"/>
            <w:szCs w:val="24"/>
            <w:u w:val="single"/>
            <w:rtl w:val="0"/>
          </w:rPr>
          <w:t xml:space="preserve">controls, frameworks, and compliance</w:t>
        </w:r>
      </w:hyperlink>
      <w:r w:rsidDel="00000000" w:rsidR="00000000" w:rsidRPr="00000000">
        <w:rPr>
          <w:rFonts w:ascii="Google Sans" w:cs="Google Sans" w:eastAsia="Google Sans" w:hAnsi="Google Sans"/>
          <w:sz w:val="24"/>
          <w:szCs w:val="24"/>
          <w:rtl w:val="0"/>
        </w:rPr>
        <w:t xml:space="preserve"> document.</w:t>
      </w:r>
    </w:p>
    <w:p w:rsidR="00000000" w:rsidDel="00000000" w:rsidP="00000000" w:rsidRDefault="00000000" w:rsidRPr="00000000" w14:paraId="0000000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4">
      <w:pPr>
        <w:numPr>
          <w:ilvl w:val="0"/>
          <w:numId w:val="5"/>
        </w:numPr>
        <w:spacing w:after="200" w:line="360" w:lineRule="auto"/>
        <w:ind w:left="720" w:hanging="360"/>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The Federal Energy Regulatory Commission - North American Electric Reliability Corporation (FERC-NERC)</w:t>
      </w:r>
    </w:p>
    <w:p w:rsidR="00000000" w:rsidDel="00000000" w:rsidP="00000000" w:rsidRDefault="00000000" w:rsidRPr="00000000" w14:paraId="00000005">
      <w:pPr>
        <w:spacing w:after="200" w:line="360" w:lineRule="auto"/>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FERC-NERC regulation applies to organizations that work with electricity or that are involved with the U.S. and North American power grid. Organizations have an obligation to prepare for, mitigate, and report any potential security incident that can negatively affect the power grid. Organizations are legally required to adhere to the Critical Infrastructure Protection Reliability Standards (CIP) defined by the FERC. </w:t>
      </w:r>
    </w:p>
    <w:p w:rsidR="00000000" w:rsidDel="00000000" w:rsidP="00000000" w:rsidRDefault="00000000" w:rsidRPr="00000000" w14:paraId="00000006">
      <w:pPr>
        <w:spacing w:after="200" w:line="360" w:lineRule="auto"/>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Explanation:</w:t>
      </w: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007">
      <w:pPr>
        <w:numPr>
          <w:ilvl w:val="0"/>
          <w:numId w:val="3"/>
        </w:numPr>
        <w:spacing w:after="200" w:line="360" w:lineRule="auto"/>
        <w:ind w:left="720" w:hanging="360"/>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General Data Protection Regulation (GDPR)</w:t>
      </w:r>
    </w:p>
    <w:p w:rsidR="00000000" w:rsidDel="00000000" w:rsidP="00000000" w:rsidRDefault="00000000" w:rsidRPr="00000000" w14:paraId="00000008">
      <w:pPr>
        <w:spacing w:after="200" w:line="360" w:lineRule="auto"/>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GDPR is a European Union (E.U.) general data regulation that protects the processing of E.U. citizens’ data and their right to privacy in and out of E.U. territory. Additionally, if a breach occurs and a E.U. citizen’s data is compromised, they must be informed within 72 hours of the incident.</w:t>
      </w:r>
    </w:p>
    <w:p w:rsidR="00000000" w:rsidDel="00000000" w:rsidP="00000000" w:rsidRDefault="00000000" w:rsidRPr="00000000" w14:paraId="00000009">
      <w:pPr>
        <w:spacing w:after="200" w:line="360" w:lineRule="auto"/>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Explanation: </w:t>
      </w:r>
      <w:r w:rsidDel="00000000" w:rsidR="00000000" w:rsidRPr="00000000">
        <w:rPr>
          <w:rFonts w:ascii="Google Sans" w:cs="Google Sans" w:eastAsia="Google Sans" w:hAnsi="Google Sans"/>
          <w:sz w:val="24"/>
          <w:szCs w:val="24"/>
          <w:rtl w:val="0"/>
        </w:rPr>
        <w:t xml:space="preserve">If a European citizen where to buy a product from this company and their data was not securely protected, this law will be inconvenient to the company and is a risk.</w:t>
      </w:r>
      <w:r w:rsidDel="00000000" w:rsidR="00000000" w:rsidRPr="00000000">
        <w:rPr>
          <w:rtl w:val="0"/>
        </w:rPr>
      </w:r>
    </w:p>
    <w:p w:rsidR="00000000" w:rsidDel="00000000" w:rsidP="00000000" w:rsidRDefault="00000000" w:rsidRPr="00000000" w14:paraId="0000000A">
      <w:pPr>
        <w:numPr>
          <w:ilvl w:val="0"/>
          <w:numId w:val="2"/>
        </w:numPr>
        <w:spacing w:after="200" w:line="360" w:lineRule="auto"/>
        <w:ind w:left="720" w:hanging="360"/>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Payment Card Industry Data Security Standard (PCI DSS)</w:t>
      </w:r>
    </w:p>
    <w:p w:rsidR="00000000" w:rsidDel="00000000" w:rsidP="00000000" w:rsidRDefault="00000000" w:rsidRPr="00000000" w14:paraId="0000000B">
      <w:pPr>
        <w:spacing w:after="200" w:line="360" w:lineRule="auto"/>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PCI DSS is an international security standard meant to ensure that organizations storing, accepting, processing, and transmitting credit card information do so in a secure environment. </w:t>
      </w:r>
    </w:p>
    <w:p w:rsidR="00000000" w:rsidDel="00000000" w:rsidP="00000000" w:rsidRDefault="00000000" w:rsidRPr="00000000" w14:paraId="0000000C">
      <w:pPr>
        <w:spacing w:after="200" w:line="360" w:lineRule="auto"/>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Explanation: </w:t>
      </w:r>
      <w:r w:rsidDel="00000000" w:rsidR="00000000" w:rsidRPr="00000000">
        <w:rPr>
          <w:rFonts w:ascii="Google Sans" w:cs="Google Sans" w:eastAsia="Google Sans" w:hAnsi="Google Sans"/>
          <w:sz w:val="24"/>
          <w:szCs w:val="24"/>
          <w:rtl w:val="0"/>
        </w:rPr>
        <w:t xml:space="preserve">The IT team needs to make sure that the website that the company is working from is using a trusted source, for the credit card information. Needs to be stored in a trusted environment and not allow for any intrusion for SPII.</w:t>
      </w:r>
      <w:r w:rsidDel="00000000" w:rsidR="00000000" w:rsidRPr="00000000">
        <w:rPr>
          <w:rtl w:val="0"/>
        </w:rPr>
      </w:r>
    </w:p>
    <w:p w:rsidR="00000000" w:rsidDel="00000000" w:rsidP="00000000" w:rsidRDefault="00000000" w:rsidRPr="00000000" w14:paraId="0000000D">
      <w:pPr>
        <w:numPr>
          <w:ilvl w:val="0"/>
          <w:numId w:val="1"/>
        </w:numPr>
        <w:spacing w:after="200" w:line="360" w:lineRule="auto"/>
        <w:ind w:left="720" w:hanging="360"/>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The Health Insurance Portability and Accountability Act (HIPAA)</w:t>
      </w:r>
    </w:p>
    <w:p w:rsidR="00000000" w:rsidDel="00000000" w:rsidP="00000000" w:rsidRDefault="00000000" w:rsidRPr="00000000" w14:paraId="0000000E">
      <w:pPr>
        <w:spacing w:after="200" w:line="360" w:lineRule="auto"/>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HIPAA is a federal law established in 1996 to protect U.S. patients’ health information. This law prohibits patient information from being shared without their consent. Organizations have a legal obligation to inform patients of a breach. </w:t>
      </w:r>
    </w:p>
    <w:p w:rsidR="00000000" w:rsidDel="00000000" w:rsidP="00000000" w:rsidRDefault="00000000" w:rsidRPr="00000000" w14:paraId="0000000F">
      <w:pPr>
        <w:spacing w:after="200" w:line="360" w:lineRule="auto"/>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Explanation: </w:t>
      </w:r>
      <w:r w:rsidDel="00000000" w:rsidR="00000000" w:rsidRPr="00000000">
        <w:rPr>
          <w:rtl w:val="0"/>
        </w:rPr>
      </w:r>
    </w:p>
    <w:p w:rsidR="00000000" w:rsidDel="00000000" w:rsidP="00000000" w:rsidRDefault="00000000" w:rsidRPr="00000000" w14:paraId="00000010">
      <w:pPr>
        <w:numPr>
          <w:ilvl w:val="0"/>
          <w:numId w:val="4"/>
        </w:numPr>
        <w:spacing w:after="200" w:line="360" w:lineRule="auto"/>
        <w:ind w:left="720" w:hanging="360"/>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System and Organizations Controls (SOC type 1, SOC type 2)</w:t>
      </w:r>
    </w:p>
    <w:p w:rsidR="00000000" w:rsidDel="00000000" w:rsidP="00000000" w:rsidRDefault="00000000" w:rsidRPr="00000000" w14:paraId="00000011">
      <w:pPr>
        <w:spacing w:after="200" w:line="360" w:lineRule="auto"/>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SOC1 and SOC2 are a series of reports that focus on an organization’s user access policies at different organizational levels. They are used to assess an organization’s financial compliance and levels of risk. They also cover confidentiality, privacy, integrity, availability, security, and overall data safety. Control failures in these areas can lead to fraud.</w:t>
      </w:r>
    </w:p>
    <w:p w:rsidR="00000000" w:rsidDel="00000000" w:rsidP="00000000" w:rsidRDefault="00000000" w:rsidRPr="00000000" w14:paraId="00000012">
      <w:pPr>
        <w:spacing w:after="200" w:line="360" w:lineRule="auto"/>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Explanation: </w:t>
      </w:r>
      <w:r w:rsidDel="00000000" w:rsidR="00000000" w:rsidRPr="00000000">
        <w:rPr>
          <w:rFonts w:ascii="Google Sans" w:cs="Google Sans" w:eastAsia="Google Sans" w:hAnsi="Google Sans"/>
          <w:sz w:val="24"/>
          <w:szCs w:val="24"/>
          <w:rtl w:val="0"/>
        </w:rPr>
        <w:t xml:space="preserve">Botium Toys does not have all of the necessary controls (internal, External) enforced and are not adhering to the regulations on keeping customer data private through user access.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oursera.org/learn/foundations-of-cybersecurity/supplement/xu4pr/controls-frameworks-and-complia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