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09B8B" w14:textId="77777777" w:rsidR="001266D0" w:rsidRDefault="001266D0">
      <w:pPr>
        <w:spacing w:before="480" w:after="80"/>
      </w:pPr>
    </w:p>
    <w:p w14:paraId="14EBEAAE" w14:textId="77777777" w:rsidR="001266D0" w:rsidRDefault="00000000">
      <w:pPr>
        <w:spacing w:after="80"/>
        <w:jc w:val="center"/>
      </w:pPr>
      <w:r>
        <w:rPr>
          <w:b/>
          <w:bCs/>
          <w:color w:val="1F4E79"/>
          <w:sz w:val="56"/>
          <w:szCs w:val="56"/>
        </w:rPr>
        <w:t>Technical &amp; Architectural</w:t>
      </w:r>
    </w:p>
    <w:p w14:paraId="3996DE1E" w14:textId="77777777" w:rsidR="001266D0" w:rsidRDefault="00000000">
      <w:pPr>
        <w:spacing w:after="300"/>
        <w:jc w:val="center"/>
      </w:pPr>
      <w:r>
        <w:rPr>
          <w:b/>
          <w:bCs/>
          <w:color w:val="2E75B6"/>
          <w:sz w:val="56"/>
          <w:szCs w:val="56"/>
        </w:rPr>
        <w:t>Clarifications — Responses</w:t>
      </w:r>
    </w:p>
    <w:p w14:paraId="6BD3F49F" w14:textId="77777777" w:rsidR="001266D0" w:rsidRDefault="00000000">
      <w:pPr>
        <w:spacing w:after="80"/>
        <w:jc w:val="center"/>
      </w:pPr>
      <w:r>
        <w:rPr>
          <w:color w:val="555555"/>
          <w:sz w:val="24"/>
          <w:szCs w:val="24"/>
        </w:rPr>
        <w:t>Architecture: Clean Architecture  |  .NET 9  |  C#</w:t>
      </w:r>
    </w:p>
    <w:p w14:paraId="3D5C5BCB" w14:textId="77777777" w:rsidR="001266D0" w:rsidRDefault="00000000">
      <w:pPr>
        <w:spacing w:after="160"/>
        <w:jc w:val="center"/>
      </w:pPr>
      <w:r>
        <w:rPr>
          <w:color w:val="777777"/>
        </w:rPr>
        <w:t xml:space="preserve">Stack: EF Core 9  |  SQL Server  |  JWT  |  </w:t>
      </w:r>
      <w:proofErr w:type="spellStart"/>
      <w:r>
        <w:rPr>
          <w:color w:val="777777"/>
        </w:rPr>
        <w:t>MediatR</w:t>
      </w:r>
      <w:proofErr w:type="spellEnd"/>
      <w:r>
        <w:rPr>
          <w:color w:val="777777"/>
        </w:rPr>
        <w:t xml:space="preserve">  |  </w:t>
      </w:r>
      <w:proofErr w:type="spellStart"/>
      <w:r>
        <w:rPr>
          <w:color w:val="777777"/>
        </w:rPr>
        <w:t>FluentValidation</w:t>
      </w:r>
      <w:proofErr w:type="spellEnd"/>
      <w:r>
        <w:rPr>
          <w:color w:val="777777"/>
        </w:rPr>
        <w:t xml:space="preserve">  |  </w:t>
      </w:r>
      <w:proofErr w:type="spellStart"/>
      <w:r>
        <w:rPr>
          <w:color w:val="777777"/>
        </w:rPr>
        <w:t>xUnit</w:t>
      </w:r>
      <w:proofErr w:type="spellEnd"/>
    </w:p>
    <w:p w14:paraId="1B3A411B" w14:textId="77777777" w:rsidR="001266D0" w:rsidRDefault="00000000">
      <w:pPr>
        <w:spacing w:after="600"/>
        <w:jc w:val="center"/>
      </w:pPr>
      <w:r>
        <w:rPr>
          <w:b/>
          <w:bCs/>
          <w:color w:val="1E7145"/>
          <w:sz w:val="20"/>
          <w:szCs w:val="20"/>
        </w:rPr>
        <w:t xml:space="preserve">Quality: </w:t>
      </w:r>
      <w:proofErr w:type="spellStart"/>
      <w:r>
        <w:rPr>
          <w:b/>
          <w:bCs/>
          <w:color w:val="1E7145"/>
          <w:sz w:val="20"/>
          <w:szCs w:val="20"/>
        </w:rPr>
        <w:t>SonarAnalyzer.CSharp</w:t>
      </w:r>
      <w:proofErr w:type="spellEnd"/>
      <w:r>
        <w:rPr>
          <w:b/>
          <w:bCs/>
          <w:color w:val="1E7145"/>
          <w:sz w:val="20"/>
          <w:szCs w:val="20"/>
        </w:rPr>
        <w:t xml:space="preserve">  |  </w:t>
      </w:r>
      <w:proofErr w:type="spellStart"/>
      <w:r>
        <w:rPr>
          <w:b/>
          <w:bCs/>
          <w:color w:val="1E7145"/>
          <w:sz w:val="20"/>
          <w:szCs w:val="20"/>
        </w:rPr>
        <w:t>TreatWarningsAsErrors</w:t>
      </w:r>
      <w:proofErr w:type="spellEnd"/>
      <w:r>
        <w:rPr>
          <w:b/>
          <w:bCs/>
          <w:color w:val="1E7145"/>
          <w:sz w:val="20"/>
          <w:szCs w:val="20"/>
        </w:rPr>
        <w:t xml:space="preserve">=true  |  </w:t>
      </w:r>
      <w:proofErr w:type="spellStart"/>
      <w:r>
        <w:rPr>
          <w:b/>
          <w:bCs/>
          <w:color w:val="1E7145"/>
          <w:sz w:val="20"/>
          <w:szCs w:val="20"/>
        </w:rPr>
        <w:t>AnalysisMode</w:t>
      </w:r>
      <w:proofErr w:type="spellEnd"/>
      <w:r>
        <w:rPr>
          <w:b/>
          <w:bCs/>
          <w:color w:val="1E7145"/>
          <w:sz w:val="20"/>
          <w:szCs w:val="20"/>
        </w:rPr>
        <w:t>=All</w:t>
      </w:r>
    </w:p>
    <w:p w14:paraId="24E071CA" w14:textId="150D48DA" w:rsidR="001266D0" w:rsidRDefault="00000000">
      <w:pPr>
        <w:jc w:val="center"/>
      </w:pPr>
      <w:r>
        <w:rPr>
          <w:color w:val="999999"/>
          <w:sz w:val="20"/>
          <w:szCs w:val="20"/>
        </w:rPr>
        <w:t>Revision   |  2</w:t>
      </w:r>
      <w:r w:rsidR="007841D4">
        <w:rPr>
          <w:color w:val="999999"/>
          <w:sz w:val="20"/>
          <w:szCs w:val="20"/>
        </w:rPr>
        <w:t>2</w:t>
      </w:r>
      <w:r>
        <w:rPr>
          <w:color w:val="999999"/>
          <w:sz w:val="20"/>
          <w:szCs w:val="20"/>
        </w:rPr>
        <w:t xml:space="preserve"> February 2026</w:t>
      </w:r>
    </w:p>
    <w:p w14:paraId="517A2913" w14:textId="77777777" w:rsidR="001266D0" w:rsidRDefault="001266D0">
      <w:pPr>
        <w:pageBreakBefore/>
      </w:pPr>
    </w:p>
    <w:p w14:paraId="56869DCF" w14:textId="77777777" w:rsidR="001266D0" w:rsidRDefault="00000000">
      <w:pPr>
        <w:pStyle w:val="Heading1"/>
        <w:pBdr>
          <w:bottom w:val="single" w:sz="4" w:space="6" w:color="2E75B6"/>
        </w:pBdr>
      </w:pPr>
      <w:r>
        <w:rPr>
          <w:color w:val="1F4E79"/>
        </w:rPr>
        <w:t>1. Repository Strategy</w:t>
      </w:r>
    </w:p>
    <w:p w14:paraId="0560FB39" w14:textId="77777777" w:rsidR="001266D0" w:rsidRDefault="00000000">
      <w:pPr>
        <w:spacing w:before="180" w:after="60"/>
      </w:pPr>
      <w:r>
        <w:rPr>
          <w:b/>
          <w:bCs/>
          <w:i/>
          <w:iCs/>
          <w:color w:val="444444"/>
        </w:rPr>
        <w:t>What were the primary architectural considerations behind choosing a monolithic repository structure?</w:t>
      </w:r>
    </w:p>
    <w:p w14:paraId="74927832" w14:textId="77777777" w:rsidR="001266D0" w:rsidRDefault="00000000">
      <w:pPr>
        <w:spacing w:before="40" w:after="100"/>
        <w:ind w:left="360"/>
      </w:pPr>
      <w:r>
        <w:rPr>
          <w:color w:val="222222"/>
        </w:rPr>
        <w:t xml:space="preserve">The monolithic repository was chosen to reduce operational overhead during the initial development phase. The project is structured as a single deployable unit with four Clean Architecture layers — </w:t>
      </w:r>
      <w:proofErr w:type="spellStart"/>
      <w:r>
        <w:rPr>
          <w:color w:val="222222"/>
        </w:rPr>
        <w:t>TUTSportApp.Domain</w:t>
      </w:r>
      <w:proofErr w:type="spellEnd"/>
      <w:r>
        <w:rPr>
          <w:color w:val="222222"/>
        </w:rPr>
        <w:t xml:space="preserve">, </w:t>
      </w:r>
      <w:proofErr w:type="spellStart"/>
      <w:r>
        <w:rPr>
          <w:color w:val="222222"/>
        </w:rPr>
        <w:t>TUTSportApp.Application</w:t>
      </w:r>
      <w:proofErr w:type="spellEnd"/>
      <w:r>
        <w:rPr>
          <w:color w:val="222222"/>
        </w:rPr>
        <w:t xml:space="preserve">, </w:t>
      </w:r>
      <w:proofErr w:type="spellStart"/>
      <w:r>
        <w:rPr>
          <w:color w:val="222222"/>
        </w:rPr>
        <w:t>TUTSportApp.Infrastructure</w:t>
      </w:r>
      <w:proofErr w:type="spellEnd"/>
      <w:r>
        <w:rPr>
          <w:color w:val="222222"/>
        </w:rPr>
        <w:t xml:space="preserve">, and </w:t>
      </w:r>
      <w:proofErr w:type="spellStart"/>
      <w:r>
        <w:rPr>
          <w:color w:val="222222"/>
        </w:rPr>
        <w:t>TUTSportApp.Api</w:t>
      </w:r>
      <w:proofErr w:type="spellEnd"/>
      <w:r>
        <w:rPr>
          <w:color w:val="222222"/>
        </w:rPr>
        <w:t xml:space="preserve"> — already enforcing strong domain boundaries internally. This reduces the friction of managing separate CI/CD pipelines, inter-service versioning, and distributed tracing infrastructure before the team has reached a scale that requires it.</w:t>
      </w:r>
    </w:p>
    <w:p w14:paraId="321A02BD" w14:textId="77777777" w:rsidR="001266D0" w:rsidRDefault="001266D0">
      <w:pPr>
        <w:spacing w:before="80" w:after="80"/>
      </w:pPr>
    </w:p>
    <w:p w14:paraId="2AE7C7C8" w14:textId="77777777" w:rsidR="001266D0" w:rsidRDefault="00000000">
      <w:pPr>
        <w:spacing w:before="180" w:after="60"/>
      </w:pPr>
      <w:r>
        <w:rPr>
          <w:b/>
          <w:bCs/>
          <w:i/>
          <w:iCs/>
          <w:color w:val="444444"/>
        </w:rPr>
        <w:t>Are there scalability or domain-boundary concerns that may justify transitioning to microservices in the future?</w:t>
      </w:r>
    </w:p>
    <w:p w14:paraId="18E80333" w14:textId="77777777" w:rsidR="001266D0" w:rsidRDefault="00000000">
      <w:pPr>
        <w:spacing w:before="40" w:after="100"/>
        <w:ind w:left="360"/>
      </w:pPr>
      <w:r>
        <w:rPr>
          <w:color w:val="222222"/>
        </w:rPr>
        <w:t>Yes. The current layer boundaries map naturally to potential service boundaries. The following conditions would trigger a microservices evaluation:</w:t>
      </w:r>
    </w:p>
    <w:p w14:paraId="17CF7034" w14:textId="77777777" w:rsidR="001266D0" w:rsidRDefault="00000000">
      <w:pPr>
        <w:pStyle w:val="ListParagraph"/>
        <w:numPr>
          <w:ilvl w:val="0"/>
          <w:numId w:val="2"/>
        </w:numPr>
        <w:spacing w:before="40" w:after="40"/>
      </w:pPr>
      <w:r>
        <w:rPr>
          <w:color w:val="222222"/>
        </w:rPr>
        <w:t>Independent scaling — e.g., if notification or reporting modules require separate scaling profiles.</w:t>
      </w:r>
    </w:p>
    <w:p w14:paraId="0C1048F8" w14:textId="77777777" w:rsidR="001266D0" w:rsidRDefault="00000000">
      <w:pPr>
        <w:pStyle w:val="ListParagraph"/>
        <w:numPr>
          <w:ilvl w:val="0"/>
          <w:numId w:val="2"/>
        </w:numPr>
        <w:spacing w:before="40" w:after="40"/>
      </w:pPr>
      <w:r>
        <w:rPr>
          <w:color w:val="222222"/>
        </w:rPr>
        <w:t>Team growth — separate teams owning Authentication, User Management, or Company domains benefit from independent deployments.</w:t>
      </w:r>
    </w:p>
    <w:p w14:paraId="67CC0FE8" w14:textId="77777777" w:rsidR="001266D0" w:rsidRDefault="00000000">
      <w:pPr>
        <w:pStyle w:val="ListParagraph"/>
        <w:numPr>
          <w:ilvl w:val="0"/>
          <w:numId w:val="2"/>
        </w:numPr>
        <w:spacing w:before="40" w:after="40"/>
      </w:pPr>
      <w:r>
        <w:rPr>
          <w:color w:val="222222"/>
        </w:rPr>
        <w:t>SLA divergence — different uptime or latency requirements per domain.</w:t>
      </w:r>
    </w:p>
    <w:p w14:paraId="1A8B31DE" w14:textId="77777777" w:rsidR="001266D0" w:rsidRDefault="00000000">
      <w:pPr>
        <w:pStyle w:val="ListParagraph"/>
        <w:numPr>
          <w:ilvl w:val="0"/>
          <w:numId w:val="2"/>
        </w:numPr>
        <w:spacing w:before="40" w:after="40"/>
      </w:pPr>
      <w:r>
        <w:rPr>
          <w:color w:val="222222"/>
        </w:rPr>
        <w:t>Third-party integration isolation — external dependencies (medical aid APIs, messaging gateways) would be better isolated as independent services.</w:t>
      </w:r>
    </w:p>
    <w:p w14:paraId="6904CB6A" w14:textId="77777777" w:rsidR="001266D0" w:rsidRDefault="001266D0">
      <w:pPr>
        <w:spacing w:before="80" w:after="80"/>
      </w:pPr>
    </w:p>
    <w:p w14:paraId="77FCA36E" w14:textId="77777777" w:rsidR="001266D0" w:rsidRDefault="00000000">
      <w:pPr>
        <w:pStyle w:val="Heading1"/>
        <w:pBdr>
          <w:bottom w:val="single" w:sz="4" w:space="6" w:color="2E75B6"/>
        </w:pBdr>
      </w:pPr>
      <w:r>
        <w:rPr>
          <w:color w:val="1F4E79"/>
        </w:rPr>
        <w:t>2. API Architecture &amp; Dependency Management</w:t>
      </w:r>
    </w:p>
    <w:p w14:paraId="3216B1D1" w14:textId="77777777" w:rsidR="001266D0" w:rsidRDefault="00000000">
      <w:pPr>
        <w:spacing w:before="180" w:after="60"/>
      </w:pPr>
      <w:r>
        <w:rPr>
          <w:b/>
          <w:bCs/>
          <w:i/>
          <w:iCs/>
          <w:color w:val="444444"/>
        </w:rPr>
        <w:t>Could you provide an overview of the API architecture?</w:t>
      </w:r>
    </w:p>
    <w:p w14:paraId="2BB06656" w14:textId="77777777" w:rsidR="001266D0" w:rsidRDefault="00000000">
      <w:pPr>
        <w:spacing w:before="40" w:after="100"/>
        <w:ind w:left="360"/>
      </w:pPr>
      <w:r>
        <w:rPr>
          <w:color w:val="222222"/>
        </w:rPr>
        <w:t>The API follows Clean Architecture. The four project layers and their responsibilities are:</w:t>
      </w:r>
    </w:p>
    <w:p w14:paraId="2952A8B1" w14:textId="77777777" w:rsidR="001266D0" w:rsidRDefault="001266D0">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7"/>
        <w:gridCol w:w="3142"/>
        <w:gridCol w:w="3521"/>
      </w:tblGrid>
      <w:tr w:rsidR="001266D0" w14:paraId="2F5F677A" w14:textId="77777777">
        <w:tblPrEx>
          <w:tblCellMar>
            <w:top w:w="0" w:type="dxa"/>
            <w:bottom w:w="0" w:type="dxa"/>
          </w:tblCellMar>
        </w:tblPrEx>
        <w:trPr>
          <w:tblHeader/>
        </w:trPr>
        <w:tc>
          <w:tcPr>
            <w:tcW w:w="2600" w:type="dxa"/>
            <w:tcBorders>
              <w:top w:val="single" w:sz="1" w:space="0" w:color="BBCFDF"/>
              <w:left w:val="single" w:sz="1" w:space="0" w:color="BBCFDF"/>
              <w:bottom w:val="single" w:sz="1" w:space="0" w:color="BBCFDF"/>
              <w:right w:val="single" w:sz="1" w:space="0" w:color="BBCFDF"/>
            </w:tcBorders>
            <w:shd w:val="clear" w:color="auto" w:fill="1F4E79"/>
            <w:tcMar>
              <w:top w:w="80" w:type="dxa"/>
              <w:left w:w="120" w:type="dxa"/>
              <w:bottom w:w="80" w:type="dxa"/>
              <w:right w:w="120" w:type="dxa"/>
            </w:tcMar>
          </w:tcPr>
          <w:p w14:paraId="631E51A9" w14:textId="77777777" w:rsidR="001266D0" w:rsidRDefault="00000000">
            <w:r>
              <w:rPr>
                <w:b/>
                <w:bCs/>
                <w:color w:val="FFFFFF"/>
                <w:sz w:val="20"/>
                <w:szCs w:val="20"/>
              </w:rPr>
              <w:t>Project</w:t>
            </w:r>
          </w:p>
        </w:tc>
        <w:tc>
          <w:tcPr>
            <w:tcW w:w="3200" w:type="dxa"/>
            <w:tcBorders>
              <w:top w:val="single" w:sz="1" w:space="0" w:color="BBCFDF"/>
              <w:left w:val="single" w:sz="1" w:space="0" w:color="BBCFDF"/>
              <w:bottom w:val="single" w:sz="1" w:space="0" w:color="BBCFDF"/>
              <w:right w:val="single" w:sz="1" w:space="0" w:color="BBCFDF"/>
            </w:tcBorders>
            <w:shd w:val="clear" w:color="auto" w:fill="1F4E79"/>
            <w:tcMar>
              <w:top w:w="80" w:type="dxa"/>
              <w:left w:w="120" w:type="dxa"/>
              <w:bottom w:w="80" w:type="dxa"/>
              <w:right w:w="120" w:type="dxa"/>
            </w:tcMar>
          </w:tcPr>
          <w:p w14:paraId="1D2FA58D" w14:textId="77777777" w:rsidR="001266D0" w:rsidRDefault="00000000">
            <w:r>
              <w:rPr>
                <w:b/>
                <w:bCs/>
                <w:color w:val="FFFFFF"/>
                <w:sz w:val="20"/>
                <w:szCs w:val="20"/>
              </w:rPr>
              <w:t>Responsibility</w:t>
            </w:r>
          </w:p>
        </w:tc>
        <w:tc>
          <w:tcPr>
            <w:tcW w:w="3560" w:type="dxa"/>
            <w:tcBorders>
              <w:top w:val="single" w:sz="1" w:space="0" w:color="BBCFDF"/>
              <w:left w:val="single" w:sz="1" w:space="0" w:color="BBCFDF"/>
              <w:bottom w:val="single" w:sz="1" w:space="0" w:color="BBCFDF"/>
              <w:right w:val="single" w:sz="1" w:space="0" w:color="BBCFDF"/>
            </w:tcBorders>
            <w:shd w:val="clear" w:color="auto" w:fill="1F4E79"/>
            <w:tcMar>
              <w:top w:w="80" w:type="dxa"/>
              <w:left w:w="120" w:type="dxa"/>
              <w:bottom w:w="80" w:type="dxa"/>
              <w:right w:w="120" w:type="dxa"/>
            </w:tcMar>
          </w:tcPr>
          <w:p w14:paraId="47EECDF1" w14:textId="77777777" w:rsidR="001266D0" w:rsidRDefault="00000000">
            <w:r>
              <w:rPr>
                <w:b/>
                <w:bCs/>
                <w:color w:val="FFFFFF"/>
                <w:sz w:val="20"/>
                <w:szCs w:val="20"/>
              </w:rPr>
              <w:t>Key Contents</w:t>
            </w:r>
          </w:p>
        </w:tc>
      </w:tr>
      <w:tr w:rsidR="001266D0" w14:paraId="3D38EF2B" w14:textId="77777777">
        <w:tblPrEx>
          <w:tblCellMar>
            <w:top w:w="0" w:type="dxa"/>
            <w:bottom w:w="0" w:type="dxa"/>
          </w:tblCellMar>
        </w:tblPrEx>
        <w:tc>
          <w:tcPr>
            <w:tcW w:w="2600" w:type="dxa"/>
            <w:tcBorders>
              <w:top w:val="single" w:sz="1" w:space="0" w:color="BBCFDF"/>
              <w:left w:val="single" w:sz="1" w:space="0" w:color="BBCFDF"/>
              <w:bottom w:val="single" w:sz="1" w:space="0" w:color="BBCFDF"/>
              <w:right w:val="single" w:sz="1" w:space="0" w:color="BBCFDF"/>
            </w:tcBorders>
            <w:shd w:val="clear" w:color="auto" w:fill="F5F9FC"/>
            <w:tcMar>
              <w:top w:w="80" w:type="dxa"/>
              <w:left w:w="120" w:type="dxa"/>
              <w:bottom w:w="80" w:type="dxa"/>
              <w:right w:w="120" w:type="dxa"/>
            </w:tcMar>
          </w:tcPr>
          <w:p w14:paraId="7A116D63" w14:textId="77777777" w:rsidR="001266D0" w:rsidRDefault="00000000">
            <w:proofErr w:type="spellStart"/>
            <w:r>
              <w:rPr>
                <w:sz w:val="20"/>
                <w:szCs w:val="20"/>
              </w:rPr>
              <w:t>TUTSportApp.Domain</w:t>
            </w:r>
            <w:proofErr w:type="spellEnd"/>
          </w:p>
        </w:tc>
        <w:tc>
          <w:tcPr>
            <w:tcW w:w="3200" w:type="dxa"/>
            <w:tcBorders>
              <w:top w:val="single" w:sz="1" w:space="0" w:color="BBCFDF"/>
              <w:left w:val="single" w:sz="1" w:space="0" w:color="BBCFDF"/>
              <w:bottom w:val="single" w:sz="1" w:space="0" w:color="BBCFDF"/>
              <w:right w:val="single" w:sz="1" w:space="0" w:color="BBCFDF"/>
            </w:tcBorders>
            <w:shd w:val="clear" w:color="auto" w:fill="F5F9FC"/>
            <w:tcMar>
              <w:top w:w="80" w:type="dxa"/>
              <w:left w:w="120" w:type="dxa"/>
              <w:bottom w:w="80" w:type="dxa"/>
              <w:right w:w="120" w:type="dxa"/>
            </w:tcMar>
          </w:tcPr>
          <w:p w14:paraId="099E6667" w14:textId="77777777" w:rsidR="001266D0" w:rsidRDefault="00000000">
            <w:r>
              <w:rPr>
                <w:sz w:val="20"/>
                <w:szCs w:val="20"/>
              </w:rPr>
              <w:t>Core business rules, zero dependencies</w:t>
            </w:r>
          </w:p>
        </w:tc>
        <w:tc>
          <w:tcPr>
            <w:tcW w:w="3560" w:type="dxa"/>
            <w:tcBorders>
              <w:top w:val="single" w:sz="1" w:space="0" w:color="BBCFDF"/>
              <w:left w:val="single" w:sz="1" w:space="0" w:color="BBCFDF"/>
              <w:bottom w:val="single" w:sz="1" w:space="0" w:color="BBCFDF"/>
              <w:right w:val="single" w:sz="1" w:space="0" w:color="BBCFDF"/>
            </w:tcBorders>
            <w:shd w:val="clear" w:color="auto" w:fill="F5F9FC"/>
            <w:tcMar>
              <w:top w:w="80" w:type="dxa"/>
              <w:left w:w="120" w:type="dxa"/>
              <w:bottom w:w="80" w:type="dxa"/>
              <w:right w:w="120" w:type="dxa"/>
            </w:tcMar>
          </w:tcPr>
          <w:p w14:paraId="1CCB4594" w14:textId="77777777" w:rsidR="001266D0" w:rsidRDefault="00000000">
            <w:proofErr w:type="spellStart"/>
            <w:r>
              <w:rPr>
                <w:sz w:val="20"/>
                <w:szCs w:val="20"/>
              </w:rPr>
              <w:t>BaseEntity</w:t>
            </w:r>
            <w:proofErr w:type="spellEnd"/>
            <w:r>
              <w:rPr>
                <w:sz w:val="20"/>
                <w:szCs w:val="20"/>
              </w:rPr>
              <w:t xml:space="preserve">, </w:t>
            </w:r>
            <w:proofErr w:type="spellStart"/>
            <w:r>
              <w:rPr>
                <w:sz w:val="20"/>
                <w:szCs w:val="20"/>
              </w:rPr>
              <w:t>AuditableEntity</w:t>
            </w:r>
            <w:proofErr w:type="spellEnd"/>
            <w:r>
              <w:rPr>
                <w:sz w:val="20"/>
                <w:szCs w:val="20"/>
              </w:rPr>
              <w:t>, Entities, Interfaces, Exceptions</w:t>
            </w:r>
          </w:p>
        </w:tc>
      </w:tr>
      <w:tr w:rsidR="001266D0" w14:paraId="2C468730" w14:textId="77777777">
        <w:tblPrEx>
          <w:tblCellMar>
            <w:top w:w="0" w:type="dxa"/>
            <w:bottom w:w="0" w:type="dxa"/>
          </w:tblCellMar>
        </w:tblPrEx>
        <w:tc>
          <w:tcPr>
            <w:tcW w:w="26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4C3C2B7F" w14:textId="77777777" w:rsidR="001266D0" w:rsidRDefault="00000000">
            <w:proofErr w:type="spellStart"/>
            <w:r>
              <w:rPr>
                <w:sz w:val="20"/>
                <w:szCs w:val="20"/>
              </w:rPr>
              <w:t>TUTSportApp.Application</w:t>
            </w:r>
            <w:proofErr w:type="spellEnd"/>
          </w:p>
        </w:tc>
        <w:tc>
          <w:tcPr>
            <w:tcW w:w="32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3B5D9009" w14:textId="77777777" w:rsidR="001266D0" w:rsidRDefault="00000000">
            <w:r>
              <w:rPr>
                <w:sz w:val="20"/>
                <w:szCs w:val="20"/>
              </w:rPr>
              <w:t>Use cases, CQRS handlers, validation</w:t>
            </w:r>
          </w:p>
        </w:tc>
        <w:tc>
          <w:tcPr>
            <w:tcW w:w="35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0F6B8E80" w14:textId="77777777" w:rsidR="001266D0" w:rsidRDefault="00000000">
            <w:proofErr w:type="spellStart"/>
            <w:r>
              <w:rPr>
                <w:sz w:val="20"/>
                <w:szCs w:val="20"/>
              </w:rPr>
              <w:t>LoginCommand</w:t>
            </w:r>
            <w:proofErr w:type="spellEnd"/>
            <w:r>
              <w:rPr>
                <w:sz w:val="20"/>
                <w:szCs w:val="20"/>
              </w:rPr>
              <w:t xml:space="preserve">, </w:t>
            </w:r>
            <w:proofErr w:type="spellStart"/>
            <w:r>
              <w:rPr>
                <w:sz w:val="20"/>
                <w:szCs w:val="20"/>
              </w:rPr>
              <w:t>LoginCommandHandler</w:t>
            </w:r>
            <w:proofErr w:type="spellEnd"/>
            <w:r>
              <w:rPr>
                <w:sz w:val="20"/>
                <w:szCs w:val="20"/>
              </w:rPr>
              <w:t xml:space="preserve">, </w:t>
            </w:r>
            <w:proofErr w:type="spellStart"/>
            <w:r>
              <w:rPr>
                <w:sz w:val="20"/>
                <w:szCs w:val="20"/>
              </w:rPr>
              <w:t>LoginCommandValidator</w:t>
            </w:r>
            <w:proofErr w:type="spellEnd"/>
            <w:r>
              <w:rPr>
                <w:sz w:val="20"/>
                <w:szCs w:val="20"/>
              </w:rPr>
              <w:t xml:space="preserve">, </w:t>
            </w:r>
            <w:proofErr w:type="spellStart"/>
            <w:r>
              <w:rPr>
                <w:sz w:val="20"/>
                <w:szCs w:val="20"/>
              </w:rPr>
              <w:t>ProfileMapper</w:t>
            </w:r>
            <w:proofErr w:type="spellEnd"/>
          </w:p>
        </w:tc>
      </w:tr>
      <w:tr w:rsidR="001266D0" w14:paraId="4DEC9FC8" w14:textId="77777777">
        <w:tblPrEx>
          <w:tblCellMar>
            <w:top w:w="0" w:type="dxa"/>
            <w:bottom w:w="0" w:type="dxa"/>
          </w:tblCellMar>
        </w:tblPrEx>
        <w:tc>
          <w:tcPr>
            <w:tcW w:w="2600" w:type="dxa"/>
            <w:tcBorders>
              <w:top w:val="single" w:sz="1" w:space="0" w:color="BBCFDF"/>
              <w:left w:val="single" w:sz="1" w:space="0" w:color="BBCFDF"/>
              <w:bottom w:val="single" w:sz="1" w:space="0" w:color="BBCFDF"/>
              <w:right w:val="single" w:sz="1" w:space="0" w:color="BBCFDF"/>
            </w:tcBorders>
            <w:shd w:val="clear" w:color="auto" w:fill="F5F9FC"/>
            <w:tcMar>
              <w:top w:w="80" w:type="dxa"/>
              <w:left w:w="120" w:type="dxa"/>
              <w:bottom w:w="80" w:type="dxa"/>
              <w:right w:w="120" w:type="dxa"/>
            </w:tcMar>
          </w:tcPr>
          <w:p w14:paraId="28BD093E" w14:textId="77777777" w:rsidR="001266D0" w:rsidRDefault="00000000">
            <w:proofErr w:type="spellStart"/>
            <w:r>
              <w:rPr>
                <w:sz w:val="20"/>
                <w:szCs w:val="20"/>
              </w:rPr>
              <w:t>TUTSportApp.Infrastructure</w:t>
            </w:r>
            <w:proofErr w:type="spellEnd"/>
          </w:p>
        </w:tc>
        <w:tc>
          <w:tcPr>
            <w:tcW w:w="3200" w:type="dxa"/>
            <w:tcBorders>
              <w:top w:val="single" w:sz="1" w:space="0" w:color="BBCFDF"/>
              <w:left w:val="single" w:sz="1" w:space="0" w:color="BBCFDF"/>
              <w:bottom w:val="single" w:sz="1" w:space="0" w:color="BBCFDF"/>
              <w:right w:val="single" w:sz="1" w:space="0" w:color="BBCFDF"/>
            </w:tcBorders>
            <w:shd w:val="clear" w:color="auto" w:fill="F5F9FC"/>
            <w:tcMar>
              <w:top w:w="80" w:type="dxa"/>
              <w:left w:w="120" w:type="dxa"/>
              <w:bottom w:w="80" w:type="dxa"/>
              <w:right w:w="120" w:type="dxa"/>
            </w:tcMar>
          </w:tcPr>
          <w:p w14:paraId="771849F7" w14:textId="77777777" w:rsidR="001266D0" w:rsidRDefault="00000000">
            <w:r>
              <w:rPr>
                <w:sz w:val="20"/>
                <w:szCs w:val="20"/>
              </w:rPr>
              <w:t>EF Core, JWT, repositories, services</w:t>
            </w:r>
          </w:p>
        </w:tc>
        <w:tc>
          <w:tcPr>
            <w:tcW w:w="3560" w:type="dxa"/>
            <w:tcBorders>
              <w:top w:val="single" w:sz="1" w:space="0" w:color="BBCFDF"/>
              <w:left w:val="single" w:sz="1" w:space="0" w:color="BBCFDF"/>
              <w:bottom w:val="single" w:sz="1" w:space="0" w:color="BBCFDF"/>
              <w:right w:val="single" w:sz="1" w:space="0" w:color="BBCFDF"/>
            </w:tcBorders>
            <w:shd w:val="clear" w:color="auto" w:fill="F5F9FC"/>
            <w:tcMar>
              <w:top w:w="80" w:type="dxa"/>
              <w:left w:w="120" w:type="dxa"/>
              <w:bottom w:w="80" w:type="dxa"/>
              <w:right w:w="120" w:type="dxa"/>
            </w:tcMar>
          </w:tcPr>
          <w:p w14:paraId="79DA7CA4" w14:textId="77777777" w:rsidR="001266D0" w:rsidRDefault="00000000">
            <w:proofErr w:type="spellStart"/>
            <w:r>
              <w:rPr>
                <w:sz w:val="20"/>
                <w:szCs w:val="20"/>
              </w:rPr>
              <w:t>ApplicationDbContext</w:t>
            </w:r>
            <w:proofErr w:type="spellEnd"/>
            <w:r>
              <w:rPr>
                <w:sz w:val="20"/>
                <w:szCs w:val="20"/>
              </w:rPr>
              <w:t xml:space="preserve">, </w:t>
            </w:r>
            <w:proofErr w:type="spellStart"/>
            <w:r>
              <w:rPr>
                <w:sz w:val="20"/>
                <w:szCs w:val="20"/>
              </w:rPr>
              <w:t>GenericRepository</w:t>
            </w:r>
            <w:proofErr w:type="spellEnd"/>
            <w:r>
              <w:rPr>
                <w:sz w:val="20"/>
                <w:szCs w:val="20"/>
              </w:rPr>
              <w:t xml:space="preserve">, </w:t>
            </w:r>
            <w:proofErr w:type="spellStart"/>
            <w:r>
              <w:rPr>
                <w:sz w:val="20"/>
                <w:szCs w:val="20"/>
              </w:rPr>
              <w:t>AuthService</w:t>
            </w:r>
            <w:proofErr w:type="spellEnd"/>
            <w:r>
              <w:rPr>
                <w:sz w:val="20"/>
                <w:szCs w:val="20"/>
              </w:rPr>
              <w:t xml:space="preserve">, </w:t>
            </w:r>
            <w:proofErr w:type="spellStart"/>
            <w:r>
              <w:rPr>
                <w:sz w:val="20"/>
                <w:szCs w:val="20"/>
              </w:rPr>
              <w:t>CurrentUserService</w:t>
            </w:r>
            <w:proofErr w:type="spellEnd"/>
          </w:p>
        </w:tc>
      </w:tr>
      <w:tr w:rsidR="001266D0" w14:paraId="1318892F" w14:textId="77777777">
        <w:tblPrEx>
          <w:tblCellMar>
            <w:top w:w="0" w:type="dxa"/>
            <w:bottom w:w="0" w:type="dxa"/>
          </w:tblCellMar>
        </w:tblPrEx>
        <w:tc>
          <w:tcPr>
            <w:tcW w:w="26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09BA8D68" w14:textId="77777777" w:rsidR="001266D0" w:rsidRDefault="00000000">
            <w:proofErr w:type="spellStart"/>
            <w:r>
              <w:rPr>
                <w:sz w:val="20"/>
                <w:szCs w:val="20"/>
              </w:rPr>
              <w:t>TUTSportApp.Api</w:t>
            </w:r>
            <w:proofErr w:type="spellEnd"/>
          </w:p>
        </w:tc>
        <w:tc>
          <w:tcPr>
            <w:tcW w:w="32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54CF88C6" w14:textId="77777777" w:rsidR="001266D0" w:rsidRDefault="00000000">
            <w:r>
              <w:rPr>
                <w:sz w:val="20"/>
                <w:szCs w:val="20"/>
              </w:rPr>
              <w:t>HTTP concerns, DI wiring</w:t>
            </w:r>
          </w:p>
        </w:tc>
        <w:tc>
          <w:tcPr>
            <w:tcW w:w="35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38BF0466" w14:textId="77777777" w:rsidR="001266D0" w:rsidRDefault="00000000">
            <w:proofErr w:type="spellStart"/>
            <w:r>
              <w:rPr>
                <w:sz w:val="20"/>
                <w:szCs w:val="20"/>
              </w:rPr>
              <w:t>LoginController</w:t>
            </w:r>
            <w:proofErr w:type="spellEnd"/>
            <w:r>
              <w:rPr>
                <w:sz w:val="20"/>
                <w:szCs w:val="20"/>
              </w:rPr>
              <w:t xml:space="preserve">, </w:t>
            </w:r>
            <w:proofErr w:type="spellStart"/>
            <w:r>
              <w:rPr>
                <w:sz w:val="20"/>
                <w:szCs w:val="20"/>
              </w:rPr>
              <w:t>Program.cs</w:t>
            </w:r>
            <w:proofErr w:type="spellEnd"/>
            <w:r>
              <w:rPr>
                <w:sz w:val="20"/>
                <w:szCs w:val="20"/>
              </w:rPr>
              <w:t xml:space="preserve">, </w:t>
            </w:r>
            <w:proofErr w:type="spellStart"/>
            <w:r>
              <w:rPr>
                <w:sz w:val="20"/>
                <w:szCs w:val="20"/>
              </w:rPr>
              <w:t>appsettings</w:t>
            </w:r>
            <w:proofErr w:type="spellEnd"/>
          </w:p>
        </w:tc>
      </w:tr>
    </w:tbl>
    <w:p w14:paraId="2F539888" w14:textId="77777777" w:rsidR="001266D0" w:rsidRDefault="001266D0">
      <w:pPr>
        <w:spacing w:before="80" w:after="80"/>
      </w:pPr>
    </w:p>
    <w:p w14:paraId="350F65AF" w14:textId="77777777" w:rsidR="001266D0" w:rsidRDefault="00000000">
      <w:pPr>
        <w:spacing w:before="180" w:after="60"/>
      </w:pPr>
      <w:r>
        <w:rPr>
          <w:b/>
          <w:bCs/>
          <w:i/>
          <w:iCs/>
          <w:color w:val="444444"/>
        </w:rPr>
        <w:t>What are the defined dependency rules between projects?</w:t>
      </w:r>
    </w:p>
    <w:p w14:paraId="2ABCC0F8" w14:textId="77777777" w:rsidR="001266D0" w:rsidRDefault="00000000">
      <w:pPr>
        <w:spacing w:before="40" w:after="100"/>
        <w:ind w:left="360"/>
      </w:pPr>
      <w:r>
        <w:rPr>
          <w:color w:val="222222"/>
        </w:rPr>
        <w:lastRenderedPageBreak/>
        <w:t xml:space="preserve">Dependencies flow strictly inward. The API project references Application and Infrastructure for DI wiring only — controllers call handlers exclusively via </w:t>
      </w:r>
      <w:proofErr w:type="spellStart"/>
      <w:r>
        <w:rPr>
          <w:color w:val="222222"/>
        </w:rPr>
        <w:t>MediatR's</w:t>
      </w:r>
      <w:proofErr w:type="spellEnd"/>
      <w:r>
        <w:rPr>
          <w:color w:val="222222"/>
        </w:rPr>
        <w:t xml:space="preserve"> </w:t>
      </w:r>
      <w:proofErr w:type="spellStart"/>
      <w:r>
        <w:rPr>
          <w:color w:val="222222"/>
        </w:rPr>
        <w:t>ISender</w:t>
      </w:r>
      <w:proofErr w:type="spellEnd"/>
      <w:r>
        <w:rPr>
          <w:color w:val="222222"/>
        </w:rPr>
        <w:t>, never directly into Infrastructure.</w:t>
      </w:r>
    </w:p>
    <w:p w14:paraId="2643AE21" w14:textId="77777777" w:rsidR="001266D0" w:rsidRDefault="001266D0">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1266D0" w14:paraId="76079D70" w14:textId="77777777">
        <w:tblPrEx>
          <w:tblCellMar>
            <w:top w:w="0" w:type="dxa"/>
            <w:bottom w:w="0" w:type="dxa"/>
          </w:tblCellMar>
        </w:tblPrEx>
        <w:trPr>
          <w:tblHeader/>
        </w:trPr>
        <w:tc>
          <w:tcPr>
            <w:tcW w:w="2400" w:type="dxa"/>
            <w:tcBorders>
              <w:top w:val="single" w:sz="1" w:space="0" w:color="BBCFDF"/>
              <w:left w:val="single" w:sz="1" w:space="0" w:color="BBCFDF"/>
              <w:bottom w:val="single" w:sz="1" w:space="0" w:color="BBCFDF"/>
              <w:right w:val="single" w:sz="1" w:space="0" w:color="BBCFDF"/>
            </w:tcBorders>
            <w:shd w:val="clear" w:color="auto" w:fill="1F4E79"/>
            <w:tcMar>
              <w:top w:w="80" w:type="dxa"/>
              <w:left w:w="120" w:type="dxa"/>
              <w:bottom w:w="80" w:type="dxa"/>
              <w:right w:w="120" w:type="dxa"/>
            </w:tcMar>
          </w:tcPr>
          <w:p w14:paraId="0D7BFF22" w14:textId="77777777" w:rsidR="001266D0" w:rsidRDefault="00000000">
            <w:r>
              <w:rPr>
                <w:b/>
                <w:bCs/>
                <w:color w:val="FFFFFF"/>
                <w:sz w:val="20"/>
                <w:szCs w:val="20"/>
              </w:rPr>
              <w:t>Layer</w:t>
            </w:r>
          </w:p>
        </w:tc>
        <w:tc>
          <w:tcPr>
            <w:tcW w:w="3480" w:type="dxa"/>
            <w:tcBorders>
              <w:top w:val="single" w:sz="1" w:space="0" w:color="BBCFDF"/>
              <w:left w:val="single" w:sz="1" w:space="0" w:color="BBCFDF"/>
              <w:bottom w:val="single" w:sz="1" w:space="0" w:color="BBCFDF"/>
              <w:right w:val="single" w:sz="1" w:space="0" w:color="BBCFDF"/>
            </w:tcBorders>
            <w:shd w:val="clear" w:color="auto" w:fill="1F4E79"/>
            <w:tcMar>
              <w:top w:w="80" w:type="dxa"/>
              <w:left w:w="120" w:type="dxa"/>
              <w:bottom w:w="80" w:type="dxa"/>
              <w:right w:w="120" w:type="dxa"/>
            </w:tcMar>
          </w:tcPr>
          <w:p w14:paraId="68F77857" w14:textId="77777777" w:rsidR="001266D0" w:rsidRDefault="00000000">
            <w:r>
              <w:rPr>
                <w:b/>
                <w:bCs/>
                <w:color w:val="FFFFFF"/>
                <w:sz w:val="20"/>
                <w:szCs w:val="20"/>
              </w:rPr>
              <w:t>Can Reference</w:t>
            </w:r>
          </w:p>
        </w:tc>
        <w:tc>
          <w:tcPr>
            <w:tcW w:w="3480" w:type="dxa"/>
            <w:tcBorders>
              <w:top w:val="single" w:sz="1" w:space="0" w:color="BBCFDF"/>
              <w:left w:val="single" w:sz="1" w:space="0" w:color="BBCFDF"/>
              <w:bottom w:val="single" w:sz="1" w:space="0" w:color="BBCFDF"/>
              <w:right w:val="single" w:sz="1" w:space="0" w:color="BBCFDF"/>
            </w:tcBorders>
            <w:shd w:val="clear" w:color="auto" w:fill="1F4E79"/>
            <w:tcMar>
              <w:top w:w="80" w:type="dxa"/>
              <w:left w:w="120" w:type="dxa"/>
              <w:bottom w:w="80" w:type="dxa"/>
              <w:right w:w="120" w:type="dxa"/>
            </w:tcMar>
          </w:tcPr>
          <w:p w14:paraId="78D09C43" w14:textId="77777777" w:rsidR="001266D0" w:rsidRDefault="00000000">
            <w:r>
              <w:rPr>
                <w:b/>
                <w:bCs/>
                <w:color w:val="FFFFFF"/>
                <w:sz w:val="20"/>
                <w:szCs w:val="20"/>
              </w:rPr>
              <w:t>Cannot Reference</w:t>
            </w:r>
          </w:p>
        </w:tc>
      </w:tr>
      <w:tr w:rsidR="001266D0" w14:paraId="77BED874" w14:textId="77777777">
        <w:tblPrEx>
          <w:tblCellMar>
            <w:top w:w="0" w:type="dxa"/>
            <w:bottom w:w="0" w:type="dxa"/>
          </w:tblCellMar>
        </w:tblPrEx>
        <w:tc>
          <w:tcPr>
            <w:tcW w:w="2400" w:type="dxa"/>
            <w:tcBorders>
              <w:top w:val="single" w:sz="1" w:space="0" w:color="BBCFDF"/>
              <w:left w:val="single" w:sz="1" w:space="0" w:color="BBCFDF"/>
              <w:bottom w:val="single" w:sz="1" w:space="0" w:color="BBCFDF"/>
              <w:right w:val="single" w:sz="1" w:space="0" w:color="BBCFDF"/>
            </w:tcBorders>
            <w:shd w:val="clear" w:color="auto" w:fill="F5F9FC"/>
            <w:tcMar>
              <w:top w:w="80" w:type="dxa"/>
              <w:left w:w="120" w:type="dxa"/>
              <w:bottom w:w="80" w:type="dxa"/>
              <w:right w:w="120" w:type="dxa"/>
            </w:tcMar>
          </w:tcPr>
          <w:p w14:paraId="1D2FCF7F" w14:textId="77777777" w:rsidR="001266D0" w:rsidRDefault="00000000">
            <w:r>
              <w:rPr>
                <w:sz w:val="20"/>
                <w:szCs w:val="20"/>
              </w:rPr>
              <w:t>Domain</w:t>
            </w:r>
          </w:p>
        </w:tc>
        <w:tc>
          <w:tcPr>
            <w:tcW w:w="3480" w:type="dxa"/>
            <w:tcBorders>
              <w:top w:val="single" w:sz="1" w:space="0" w:color="BBCFDF"/>
              <w:left w:val="single" w:sz="1" w:space="0" w:color="BBCFDF"/>
              <w:bottom w:val="single" w:sz="1" w:space="0" w:color="BBCFDF"/>
              <w:right w:val="single" w:sz="1" w:space="0" w:color="BBCFDF"/>
            </w:tcBorders>
            <w:shd w:val="clear" w:color="auto" w:fill="F5F9FC"/>
            <w:tcMar>
              <w:top w:w="80" w:type="dxa"/>
              <w:left w:w="120" w:type="dxa"/>
              <w:bottom w:w="80" w:type="dxa"/>
              <w:right w:w="120" w:type="dxa"/>
            </w:tcMar>
          </w:tcPr>
          <w:p w14:paraId="4E37EDB6" w14:textId="77777777" w:rsidR="001266D0" w:rsidRDefault="00000000">
            <w:r>
              <w:rPr>
                <w:sz w:val="20"/>
                <w:szCs w:val="20"/>
              </w:rPr>
              <w:t>Nothing (zero dependencies)</w:t>
            </w:r>
          </w:p>
        </w:tc>
        <w:tc>
          <w:tcPr>
            <w:tcW w:w="3480" w:type="dxa"/>
            <w:tcBorders>
              <w:top w:val="single" w:sz="1" w:space="0" w:color="BBCFDF"/>
              <w:left w:val="single" w:sz="1" w:space="0" w:color="BBCFDF"/>
              <w:bottom w:val="single" w:sz="1" w:space="0" w:color="BBCFDF"/>
              <w:right w:val="single" w:sz="1" w:space="0" w:color="BBCFDF"/>
            </w:tcBorders>
            <w:shd w:val="clear" w:color="auto" w:fill="F5F9FC"/>
            <w:tcMar>
              <w:top w:w="80" w:type="dxa"/>
              <w:left w:w="120" w:type="dxa"/>
              <w:bottom w:w="80" w:type="dxa"/>
              <w:right w:w="120" w:type="dxa"/>
            </w:tcMar>
          </w:tcPr>
          <w:p w14:paraId="52A75042" w14:textId="77777777" w:rsidR="001266D0" w:rsidRDefault="00000000">
            <w:r>
              <w:rPr>
                <w:sz w:val="20"/>
                <w:szCs w:val="20"/>
              </w:rPr>
              <w:t>Application, Infrastructure, Api</w:t>
            </w:r>
          </w:p>
        </w:tc>
      </w:tr>
      <w:tr w:rsidR="001266D0" w14:paraId="0FC3C399" w14:textId="77777777">
        <w:tblPrEx>
          <w:tblCellMar>
            <w:top w:w="0" w:type="dxa"/>
            <w:bottom w:w="0" w:type="dxa"/>
          </w:tblCellMar>
        </w:tblPrEx>
        <w:tc>
          <w:tcPr>
            <w:tcW w:w="24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6F82CA3B" w14:textId="77777777" w:rsidR="001266D0" w:rsidRDefault="00000000">
            <w:r>
              <w:rPr>
                <w:sz w:val="20"/>
                <w:szCs w:val="20"/>
              </w:rPr>
              <w:t>Application</w:t>
            </w:r>
          </w:p>
        </w:tc>
        <w:tc>
          <w:tcPr>
            <w:tcW w:w="348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07952F73" w14:textId="77777777" w:rsidR="001266D0" w:rsidRDefault="00000000">
            <w:r>
              <w:rPr>
                <w:sz w:val="20"/>
                <w:szCs w:val="20"/>
              </w:rPr>
              <w:t>Domain</w:t>
            </w:r>
          </w:p>
        </w:tc>
        <w:tc>
          <w:tcPr>
            <w:tcW w:w="348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014A058E" w14:textId="77777777" w:rsidR="001266D0" w:rsidRDefault="00000000">
            <w:r>
              <w:rPr>
                <w:sz w:val="20"/>
                <w:szCs w:val="20"/>
              </w:rPr>
              <w:t>Infrastructure, Api</w:t>
            </w:r>
          </w:p>
        </w:tc>
      </w:tr>
      <w:tr w:rsidR="001266D0" w14:paraId="02805559" w14:textId="77777777">
        <w:tblPrEx>
          <w:tblCellMar>
            <w:top w:w="0" w:type="dxa"/>
            <w:bottom w:w="0" w:type="dxa"/>
          </w:tblCellMar>
        </w:tblPrEx>
        <w:tc>
          <w:tcPr>
            <w:tcW w:w="2400" w:type="dxa"/>
            <w:tcBorders>
              <w:top w:val="single" w:sz="1" w:space="0" w:color="BBCFDF"/>
              <w:left w:val="single" w:sz="1" w:space="0" w:color="BBCFDF"/>
              <w:bottom w:val="single" w:sz="1" w:space="0" w:color="BBCFDF"/>
              <w:right w:val="single" w:sz="1" w:space="0" w:color="BBCFDF"/>
            </w:tcBorders>
            <w:shd w:val="clear" w:color="auto" w:fill="F5F9FC"/>
            <w:tcMar>
              <w:top w:w="80" w:type="dxa"/>
              <w:left w:w="120" w:type="dxa"/>
              <w:bottom w:w="80" w:type="dxa"/>
              <w:right w:w="120" w:type="dxa"/>
            </w:tcMar>
          </w:tcPr>
          <w:p w14:paraId="64338219" w14:textId="77777777" w:rsidR="001266D0" w:rsidRDefault="00000000">
            <w:r>
              <w:rPr>
                <w:sz w:val="20"/>
                <w:szCs w:val="20"/>
              </w:rPr>
              <w:t>Infrastructure</w:t>
            </w:r>
          </w:p>
        </w:tc>
        <w:tc>
          <w:tcPr>
            <w:tcW w:w="3480" w:type="dxa"/>
            <w:tcBorders>
              <w:top w:val="single" w:sz="1" w:space="0" w:color="BBCFDF"/>
              <w:left w:val="single" w:sz="1" w:space="0" w:color="BBCFDF"/>
              <w:bottom w:val="single" w:sz="1" w:space="0" w:color="BBCFDF"/>
              <w:right w:val="single" w:sz="1" w:space="0" w:color="BBCFDF"/>
            </w:tcBorders>
            <w:shd w:val="clear" w:color="auto" w:fill="F5F9FC"/>
            <w:tcMar>
              <w:top w:w="80" w:type="dxa"/>
              <w:left w:w="120" w:type="dxa"/>
              <w:bottom w:w="80" w:type="dxa"/>
              <w:right w:w="120" w:type="dxa"/>
            </w:tcMar>
          </w:tcPr>
          <w:p w14:paraId="2712E34B" w14:textId="77777777" w:rsidR="001266D0" w:rsidRDefault="00000000">
            <w:r>
              <w:rPr>
                <w:sz w:val="20"/>
                <w:szCs w:val="20"/>
              </w:rPr>
              <w:t>Application, Domain</w:t>
            </w:r>
          </w:p>
        </w:tc>
        <w:tc>
          <w:tcPr>
            <w:tcW w:w="3480" w:type="dxa"/>
            <w:tcBorders>
              <w:top w:val="single" w:sz="1" w:space="0" w:color="BBCFDF"/>
              <w:left w:val="single" w:sz="1" w:space="0" w:color="BBCFDF"/>
              <w:bottom w:val="single" w:sz="1" w:space="0" w:color="BBCFDF"/>
              <w:right w:val="single" w:sz="1" w:space="0" w:color="BBCFDF"/>
            </w:tcBorders>
            <w:shd w:val="clear" w:color="auto" w:fill="F5F9FC"/>
            <w:tcMar>
              <w:top w:w="80" w:type="dxa"/>
              <w:left w:w="120" w:type="dxa"/>
              <w:bottom w:w="80" w:type="dxa"/>
              <w:right w:w="120" w:type="dxa"/>
            </w:tcMar>
          </w:tcPr>
          <w:p w14:paraId="1AA68D1D" w14:textId="77777777" w:rsidR="001266D0" w:rsidRDefault="00000000">
            <w:r>
              <w:rPr>
                <w:sz w:val="20"/>
                <w:szCs w:val="20"/>
              </w:rPr>
              <w:t>Api</w:t>
            </w:r>
          </w:p>
        </w:tc>
      </w:tr>
      <w:tr w:rsidR="001266D0" w14:paraId="591AB9F5" w14:textId="77777777">
        <w:tblPrEx>
          <w:tblCellMar>
            <w:top w:w="0" w:type="dxa"/>
            <w:bottom w:w="0" w:type="dxa"/>
          </w:tblCellMar>
        </w:tblPrEx>
        <w:tc>
          <w:tcPr>
            <w:tcW w:w="24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1056F992" w14:textId="77777777" w:rsidR="001266D0" w:rsidRDefault="00000000">
            <w:r>
              <w:rPr>
                <w:sz w:val="20"/>
                <w:szCs w:val="20"/>
              </w:rPr>
              <w:t>Api (Presentation)</w:t>
            </w:r>
          </w:p>
        </w:tc>
        <w:tc>
          <w:tcPr>
            <w:tcW w:w="348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73B11F65" w14:textId="77777777" w:rsidR="001266D0" w:rsidRDefault="00000000">
            <w:r>
              <w:rPr>
                <w:sz w:val="20"/>
                <w:szCs w:val="20"/>
              </w:rPr>
              <w:t xml:space="preserve">Application (via </w:t>
            </w:r>
            <w:proofErr w:type="spellStart"/>
            <w:r>
              <w:rPr>
                <w:sz w:val="20"/>
                <w:szCs w:val="20"/>
              </w:rPr>
              <w:t>MediatR</w:t>
            </w:r>
            <w:proofErr w:type="spellEnd"/>
            <w:r>
              <w:rPr>
                <w:sz w:val="20"/>
                <w:szCs w:val="20"/>
              </w:rPr>
              <w:t xml:space="preserve"> </w:t>
            </w:r>
            <w:proofErr w:type="spellStart"/>
            <w:r>
              <w:rPr>
                <w:sz w:val="20"/>
                <w:szCs w:val="20"/>
              </w:rPr>
              <w:t>ISender</w:t>
            </w:r>
            <w:proofErr w:type="spellEnd"/>
            <w:r>
              <w:rPr>
                <w:sz w:val="20"/>
                <w:szCs w:val="20"/>
              </w:rPr>
              <w:t>)</w:t>
            </w:r>
          </w:p>
        </w:tc>
        <w:tc>
          <w:tcPr>
            <w:tcW w:w="348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6D0E4FDD" w14:textId="77777777" w:rsidR="001266D0" w:rsidRDefault="00000000">
            <w:r>
              <w:rPr>
                <w:sz w:val="20"/>
                <w:szCs w:val="20"/>
              </w:rPr>
              <w:t>Infrastructure (direct)</w:t>
            </w:r>
          </w:p>
        </w:tc>
      </w:tr>
    </w:tbl>
    <w:p w14:paraId="715CE2C3" w14:textId="77777777" w:rsidR="001266D0" w:rsidRDefault="001266D0">
      <w:pPr>
        <w:spacing w:before="80" w:after="80"/>
      </w:pPr>
    </w:p>
    <w:p w14:paraId="13744F39" w14:textId="77777777" w:rsidR="001266D0" w:rsidRDefault="00000000">
      <w:pPr>
        <w:pStyle w:val="Heading1"/>
        <w:pBdr>
          <w:bottom w:val="single" w:sz="4" w:space="6" w:color="2E75B6"/>
        </w:pBdr>
      </w:pPr>
      <w:r>
        <w:rPr>
          <w:color w:val="1F4E79"/>
        </w:rPr>
        <w:t>3. Architecture &amp; Design — Cross-Cutting Concerns</w:t>
      </w:r>
    </w:p>
    <w:p w14:paraId="70100543" w14:textId="77777777" w:rsidR="001266D0" w:rsidRDefault="00000000">
      <w:pPr>
        <w:spacing w:before="180" w:after="60"/>
      </w:pPr>
      <w:r>
        <w:rPr>
          <w:b/>
          <w:bCs/>
          <w:i/>
          <w:iCs/>
          <w:color w:val="444444"/>
        </w:rPr>
        <w:t>How are cross-cutting concerns handled (logging, validation, exception handling)?</w:t>
      </w:r>
    </w:p>
    <w:p w14:paraId="31A6C717" w14:textId="77777777" w:rsidR="001266D0" w:rsidRDefault="00000000">
      <w:pPr>
        <w:spacing w:before="40" w:after="100"/>
        <w:ind w:left="360"/>
      </w:pPr>
      <w:r>
        <w:rPr>
          <w:color w:val="222222"/>
        </w:rPr>
        <w:t xml:space="preserve">Cross-cutting concerns are handled through ASP.NET Core middleware and </w:t>
      </w:r>
      <w:proofErr w:type="spellStart"/>
      <w:r>
        <w:rPr>
          <w:color w:val="222222"/>
        </w:rPr>
        <w:t>MediatR</w:t>
      </w:r>
      <w:proofErr w:type="spellEnd"/>
      <w:r>
        <w:rPr>
          <w:color w:val="222222"/>
        </w:rPr>
        <w:t xml:space="preserve"> pipeline </w:t>
      </w:r>
      <w:proofErr w:type="spellStart"/>
      <w:r>
        <w:rPr>
          <w:color w:val="222222"/>
        </w:rPr>
        <w:t>behaviors</w:t>
      </w:r>
      <w:proofErr w:type="spellEnd"/>
      <w:r>
        <w:rPr>
          <w:color w:val="222222"/>
        </w:rPr>
        <w:t>:</w:t>
      </w:r>
    </w:p>
    <w:p w14:paraId="6630789F" w14:textId="77777777" w:rsidR="001266D0" w:rsidRDefault="00000000">
      <w:pPr>
        <w:pStyle w:val="ListParagraph"/>
        <w:numPr>
          <w:ilvl w:val="0"/>
          <w:numId w:val="2"/>
        </w:numPr>
        <w:spacing w:before="40" w:after="40"/>
      </w:pPr>
      <w:r>
        <w:rPr>
          <w:color w:val="222222"/>
        </w:rPr>
        <w:t xml:space="preserve">Logging — </w:t>
      </w:r>
      <w:proofErr w:type="spellStart"/>
      <w:r>
        <w:rPr>
          <w:color w:val="222222"/>
        </w:rPr>
        <w:t>Serilog</w:t>
      </w:r>
      <w:proofErr w:type="spellEnd"/>
      <w:r>
        <w:rPr>
          <w:color w:val="222222"/>
        </w:rPr>
        <w:t xml:space="preserve"> with structured logging; correlation IDs propagated through the pipeline. </w:t>
      </w:r>
      <w:proofErr w:type="spellStart"/>
      <w:r>
        <w:rPr>
          <w:color w:val="222222"/>
        </w:rPr>
        <w:t>MediatR</w:t>
      </w:r>
      <w:proofErr w:type="spellEnd"/>
      <w:r>
        <w:rPr>
          <w:color w:val="222222"/>
        </w:rPr>
        <w:t xml:space="preserve"> </w:t>
      </w:r>
      <w:proofErr w:type="spellStart"/>
      <w:r>
        <w:rPr>
          <w:color w:val="222222"/>
        </w:rPr>
        <w:t>behaviors</w:t>
      </w:r>
      <w:proofErr w:type="spellEnd"/>
      <w:r>
        <w:rPr>
          <w:color w:val="222222"/>
        </w:rPr>
        <w:t xml:space="preserve"> log command/query execution and timing.</w:t>
      </w:r>
    </w:p>
    <w:p w14:paraId="6C905F99" w14:textId="77777777" w:rsidR="001266D0" w:rsidRDefault="00000000">
      <w:pPr>
        <w:pStyle w:val="ListParagraph"/>
        <w:numPr>
          <w:ilvl w:val="0"/>
          <w:numId w:val="2"/>
        </w:numPr>
        <w:spacing w:before="40" w:after="40"/>
      </w:pPr>
      <w:r>
        <w:rPr>
          <w:color w:val="222222"/>
        </w:rPr>
        <w:t xml:space="preserve">Validation — </w:t>
      </w:r>
      <w:proofErr w:type="spellStart"/>
      <w:r>
        <w:rPr>
          <w:color w:val="222222"/>
        </w:rPr>
        <w:t>FluentValidation</w:t>
      </w:r>
      <w:proofErr w:type="spellEnd"/>
      <w:r>
        <w:rPr>
          <w:color w:val="222222"/>
        </w:rPr>
        <w:t xml:space="preserve"> validators (e.g., </w:t>
      </w:r>
      <w:proofErr w:type="spellStart"/>
      <w:r>
        <w:rPr>
          <w:color w:val="222222"/>
        </w:rPr>
        <w:t>LoginCommandValidator</w:t>
      </w:r>
      <w:proofErr w:type="spellEnd"/>
      <w:r>
        <w:rPr>
          <w:color w:val="222222"/>
        </w:rPr>
        <w:t xml:space="preserve">) are registered via </w:t>
      </w:r>
      <w:proofErr w:type="spellStart"/>
      <w:r>
        <w:rPr>
          <w:color w:val="222222"/>
        </w:rPr>
        <w:t>AddValidatorsFromAssembly</w:t>
      </w:r>
      <w:proofErr w:type="spellEnd"/>
      <w:r>
        <w:rPr>
          <w:color w:val="222222"/>
        </w:rPr>
        <w:t xml:space="preserve"> and execute as a </w:t>
      </w:r>
      <w:proofErr w:type="spellStart"/>
      <w:r>
        <w:rPr>
          <w:color w:val="222222"/>
        </w:rPr>
        <w:t>MediatR</w:t>
      </w:r>
      <w:proofErr w:type="spellEnd"/>
      <w:r>
        <w:rPr>
          <w:color w:val="222222"/>
        </w:rPr>
        <w:t xml:space="preserve"> </w:t>
      </w:r>
      <w:proofErr w:type="spellStart"/>
      <w:r>
        <w:rPr>
          <w:color w:val="222222"/>
        </w:rPr>
        <w:t>ValidationBehavior</w:t>
      </w:r>
      <w:proofErr w:type="spellEnd"/>
      <w:r>
        <w:rPr>
          <w:color w:val="222222"/>
        </w:rPr>
        <w:t xml:space="preserve"> before any handler runs. Data annotation attributes have been intentionally removed from command records to avoid duplication between the two validation systems.</w:t>
      </w:r>
    </w:p>
    <w:p w14:paraId="79B069BD" w14:textId="77777777" w:rsidR="001266D0" w:rsidRDefault="00000000">
      <w:pPr>
        <w:pStyle w:val="ListParagraph"/>
        <w:numPr>
          <w:ilvl w:val="0"/>
          <w:numId w:val="2"/>
        </w:numPr>
        <w:spacing w:before="40" w:after="40"/>
      </w:pPr>
      <w:r>
        <w:rPr>
          <w:color w:val="222222"/>
        </w:rPr>
        <w:t xml:space="preserve">Exception Handling — Global exception middleware maps unhandled exceptions to </w:t>
      </w:r>
      <w:proofErr w:type="spellStart"/>
      <w:r>
        <w:rPr>
          <w:color w:val="222222"/>
        </w:rPr>
        <w:t>ProblemDetails</w:t>
      </w:r>
      <w:proofErr w:type="spellEnd"/>
      <w:r>
        <w:rPr>
          <w:color w:val="222222"/>
        </w:rPr>
        <w:t xml:space="preserve"> (RFC 7807). Domain exceptions such as </w:t>
      </w:r>
      <w:proofErr w:type="spellStart"/>
      <w:r>
        <w:rPr>
          <w:color w:val="222222"/>
        </w:rPr>
        <w:t>NotFoundException</w:t>
      </w:r>
      <w:proofErr w:type="spellEnd"/>
      <w:r>
        <w:rPr>
          <w:color w:val="222222"/>
        </w:rPr>
        <w:t xml:space="preserve"> produce 404 responses; </w:t>
      </w:r>
      <w:proofErr w:type="spellStart"/>
      <w:r>
        <w:rPr>
          <w:color w:val="222222"/>
        </w:rPr>
        <w:t>UnauthorizedAccessException</w:t>
      </w:r>
      <w:proofErr w:type="spellEnd"/>
      <w:r>
        <w:rPr>
          <w:color w:val="222222"/>
        </w:rPr>
        <w:t xml:space="preserve"> from </w:t>
      </w:r>
      <w:proofErr w:type="spellStart"/>
      <w:r>
        <w:rPr>
          <w:color w:val="222222"/>
        </w:rPr>
        <w:t>AuthService</w:t>
      </w:r>
      <w:proofErr w:type="spellEnd"/>
      <w:r>
        <w:rPr>
          <w:color w:val="222222"/>
        </w:rPr>
        <w:t xml:space="preserve"> produces 401.</w:t>
      </w:r>
    </w:p>
    <w:p w14:paraId="7FD56CEB" w14:textId="77777777" w:rsidR="001266D0" w:rsidRDefault="00000000">
      <w:pPr>
        <w:pStyle w:val="ListParagraph"/>
        <w:numPr>
          <w:ilvl w:val="0"/>
          <w:numId w:val="2"/>
        </w:numPr>
        <w:spacing w:before="40" w:after="40"/>
      </w:pPr>
      <w:r>
        <w:rPr>
          <w:color w:val="222222"/>
        </w:rPr>
        <w:t xml:space="preserve">Auditing — </w:t>
      </w:r>
      <w:proofErr w:type="spellStart"/>
      <w:r>
        <w:rPr>
          <w:color w:val="222222"/>
        </w:rPr>
        <w:t>AuditableEntity</w:t>
      </w:r>
      <w:proofErr w:type="spellEnd"/>
      <w:r>
        <w:rPr>
          <w:color w:val="222222"/>
        </w:rPr>
        <w:t xml:space="preserve"> carries </w:t>
      </w:r>
      <w:proofErr w:type="spellStart"/>
      <w:r>
        <w:rPr>
          <w:color w:val="222222"/>
        </w:rPr>
        <w:t>CreatedAt</w:t>
      </w:r>
      <w:proofErr w:type="spellEnd"/>
      <w:r>
        <w:rPr>
          <w:color w:val="222222"/>
        </w:rPr>
        <w:t xml:space="preserve">, </w:t>
      </w:r>
      <w:proofErr w:type="spellStart"/>
      <w:r>
        <w:rPr>
          <w:color w:val="222222"/>
        </w:rPr>
        <w:t>CreatedBy</w:t>
      </w:r>
      <w:proofErr w:type="spellEnd"/>
      <w:r>
        <w:rPr>
          <w:color w:val="222222"/>
        </w:rPr>
        <w:t xml:space="preserve">, </w:t>
      </w:r>
      <w:proofErr w:type="spellStart"/>
      <w:r>
        <w:rPr>
          <w:color w:val="222222"/>
        </w:rPr>
        <w:t>LastModifiedAt</w:t>
      </w:r>
      <w:proofErr w:type="spellEnd"/>
      <w:r>
        <w:rPr>
          <w:color w:val="222222"/>
        </w:rPr>
        <w:t xml:space="preserve">, </w:t>
      </w:r>
      <w:proofErr w:type="spellStart"/>
      <w:r>
        <w:rPr>
          <w:color w:val="222222"/>
        </w:rPr>
        <w:t>LastModifiedBy</w:t>
      </w:r>
      <w:proofErr w:type="spellEnd"/>
      <w:r>
        <w:rPr>
          <w:color w:val="222222"/>
        </w:rPr>
        <w:t xml:space="preserve">, and </w:t>
      </w:r>
      <w:proofErr w:type="spellStart"/>
      <w:r>
        <w:rPr>
          <w:color w:val="222222"/>
        </w:rPr>
        <w:t>IsDeleted</w:t>
      </w:r>
      <w:proofErr w:type="spellEnd"/>
      <w:r>
        <w:rPr>
          <w:color w:val="222222"/>
        </w:rPr>
        <w:t xml:space="preserve">. These are populated automatically in </w:t>
      </w:r>
      <w:proofErr w:type="spellStart"/>
      <w:r>
        <w:rPr>
          <w:color w:val="222222"/>
        </w:rPr>
        <w:t>ApplicationDbContext.SaveChangesAsync</w:t>
      </w:r>
      <w:proofErr w:type="spellEnd"/>
      <w:r>
        <w:rPr>
          <w:color w:val="222222"/>
        </w:rPr>
        <w:t xml:space="preserve"> via </w:t>
      </w:r>
      <w:proofErr w:type="spellStart"/>
      <w:r>
        <w:rPr>
          <w:color w:val="222222"/>
        </w:rPr>
        <w:t>ChangeTracker</w:t>
      </w:r>
      <w:proofErr w:type="spellEnd"/>
      <w:r>
        <w:rPr>
          <w:color w:val="222222"/>
        </w:rPr>
        <w:t xml:space="preserve"> with </w:t>
      </w:r>
      <w:proofErr w:type="spellStart"/>
      <w:r>
        <w:rPr>
          <w:color w:val="222222"/>
        </w:rPr>
        <w:t>ICurrentUserService</w:t>
      </w:r>
      <w:proofErr w:type="spellEnd"/>
      <w:r>
        <w:rPr>
          <w:color w:val="222222"/>
        </w:rPr>
        <w:t>, not by callers.</w:t>
      </w:r>
    </w:p>
    <w:p w14:paraId="39C07DEA" w14:textId="77777777" w:rsidR="001266D0" w:rsidRDefault="001266D0">
      <w:pPr>
        <w:spacing w:before="80" w:after="80"/>
      </w:pPr>
    </w:p>
    <w:p w14:paraId="28AB4E4E" w14:textId="77777777" w:rsidR="001266D0" w:rsidRDefault="00000000">
      <w:pPr>
        <w:pStyle w:val="Heading1"/>
        <w:pBdr>
          <w:bottom w:val="single" w:sz="4" w:space="6" w:color="2E75B6"/>
        </w:pBdr>
      </w:pPr>
      <w:r>
        <w:rPr>
          <w:color w:val="1F4E79"/>
        </w:rPr>
        <w:t>4. Security &amp; Compliance</w:t>
      </w:r>
    </w:p>
    <w:p w14:paraId="4EE7C713" w14:textId="77777777" w:rsidR="001266D0" w:rsidRDefault="00000000">
      <w:pPr>
        <w:spacing w:before="180" w:after="60"/>
      </w:pPr>
      <w:r>
        <w:rPr>
          <w:b/>
          <w:bCs/>
          <w:i/>
          <w:iCs/>
          <w:color w:val="444444"/>
        </w:rPr>
        <w:t>What authentication and authorization mechanisms are we going to use?</w:t>
      </w:r>
    </w:p>
    <w:p w14:paraId="2CCCFB58" w14:textId="77777777" w:rsidR="001266D0" w:rsidRDefault="00000000">
      <w:pPr>
        <w:spacing w:before="40" w:after="100"/>
        <w:ind w:left="360"/>
      </w:pPr>
      <w:r>
        <w:rPr>
          <w:color w:val="222222"/>
        </w:rPr>
        <w:t xml:space="preserve">JWT Bearer authentication is implemented in </w:t>
      </w:r>
      <w:proofErr w:type="spellStart"/>
      <w:r>
        <w:rPr>
          <w:color w:val="222222"/>
        </w:rPr>
        <w:t>TUTSportApp.Infrastructure</w:t>
      </w:r>
      <w:proofErr w:type="spellEnd"/>
      <w:r>
        <w:rPr>
          <w:color w:val="222222"/>
        </w:rPr>
        <w:t>:</w:t>
      </w:r>
    </w:p>
    <w:p w14:paraId="4ED337D5" w14:textId="77777777" w:rsidR="001266D0" w:rsidRDefault="00000000">
      <w:pPr>
        <w:pStyle w:val="ListParagraph"/>
        <w:numPr>
          <w:ilvl w:val="0"/>
          <w:numId w:val="2"/>
        </w:numPr>
        <w:spacing w:before="40" w:after="40"/>
      </w:pPr>
      <w:r>
        <w:rPr>
          <w:color w:val="222222"/>
        </w:rPr>
        <w:t xml:space="preserve">Token Creation — </w:t>
      </w:r>
      <w:proofErr w:type="spellStart"/>
      <w:r>
        <w:rPr>
          <w:color w:val="222222"/>
        </w:rPr>
        <w:t>AuthService.CreateTokenAsync</w:t>
      </w:r>
      <w:proofErr w:type="spellEnd"/>
      <w:r>
        <w:rPr>
          <w:color w:val="222222"/>
        </w:rPr>
        <w:t xml:space="preserve"> issues signed JWT tokens with </w:t>
      </w:r>
      <w:proofErr w:type="spellStart"/>
      <w:r>
        <w:rPr>
          <w:color w:val="222222"/>
        </w:rPr>
        <w:t>NameIdentifier</w:t>
      </w:r>
      <w:proofErr w:type="spellEnd"/>
      <w:r>
        <w:rPr>
          <w:color w:val="222222"/>
        </w:rPr>
        <w:t xml:space="preserve"> and Name claims. Tokens are signed with HMAC-SHA256 using the key from </w:t>
      </w:r>
      <w:proofErr w:type="spellStart"/>
      <w:r>
        <w:rPr>
          <w:color w:val="222222"/>
        </w:rPr>
        <w:t>JwtSettings</w:t>
      </w:r>
      <w:proofErr w:type="spellEnd"/>
      <w:r>
        <w:rPr>
          <w:color w:val="222222"/>
        </w:rPr>
        <w:t>.</w:t>
      </w:r>
    </w:p>
    <w:p w14:paraId="1811D08E" w14:textId="77777777" w:rsidR="001266D0" w:rsidRDefault="00000000">
      <w:pPr>
        <w:pStyle w:val="ListParagraph"/>
        <w:numPr>
          <w:ilvl w:val="0"/>
          <w:numId w:val="2"/>
        </w:numPr>
        <w:spacing w:before="40" w:after="40"/>
      </w:pPr>
      <w:r>
        <w:rPr>
          <w:color w:val="222222"/>
        </w:rPr>
        <w:t xml:space="preserve">Password Storage — PBKDF2/SHA-256 with a 128-bit random salt, 200,000 iterations, and 256-bit output. </w:t>
      </w:r>
      <w:proofErr w:type="spellStart"/>
      <w:r>
        <w:rPr>
          <w:color w:val="222222"/>
        </w:rPr>
        <w:t>CryptographicOperations.FixedTimeEquals</w:t>
      </w:r>
      <w:proofErr w:type="spellEnd"/>
      <w:r>
        <w:rPr>
          <w:color w:val="222222"/>
        </w:rPr>
        <w:t xml:space="preserve"> is used for timing-safe comparison in </w:t>
      </w:r>
      <w:proofErr w:type="spellStart"/>
      <w:r>
        <w:rPr>
          <w:color w:val="222222"/>
        </w:rPr>
        <w:t>VerifyPasswordHash</w:t>
      </w:r>
      <w:proofErr w:type="spellEnd"/>
      <w:r>
        <w:rPr>
          <w:color w:val="222222"/>
        </w:rPr>
        <w:t>.</w:t>
      </w:r>
    </w:p>
    <w:p w14:paraId="7E7A99D2" w14:textId="77777777" w:rsidR="001266D0" w:rsidRDefault="00000000">
      <w:pPr>
        <w:pStyle w:val="ListParagraph"/>
        <w:numPr>
          <w:ilvl w:val="0"/>
          <w:numId w:val="2"/>
        </w:numPr>
        <w:spacing w:before="40" w:after="40"/>
      </w:pPr>
      <w:r>
        <w:rPr>
          <w:color w:val="222222"/>
        </w:rPr>
        <w:t xml:space="preserve">Account Lockout — </w:t>
      </w:r>
      <w:proofErr w:type="spellStart"/>
      <w:r>
        <w:rPr>
          <w:color w:val="222222"/>
        </w:rPr>
        <w:t>LoginRepository.UpdateFailedAttemptsAsync</w:t>
      </w:r>
      <w:proofErr w:type="spellEnd"/>
      <w:r>
        <w:rPr>
          <w:color w:val="222222"/>
        </w:rPr>
        <w:t xml:space="preserve"> increments </w:t>
      </w:r>
      <w:proofErr w:type="spellStart"/>
      <w:r>
        <w:rPr>
          <w:color w:val="222222"/>
        </w:rPr>
        <w:t>FailedAttempts</w:t>
      </w:r>
      <w:proofErr w:type="spellEnd"/>
      <w:r>
        <w:rPr>
          <w:color w:val="222222"/>
        </w:rPr>
        <w:t xml:space="preserve"> and sets </w:t>
      </w:r>
      <w:proofErr w:type="spellStart"/>
      <w:r>
        <w:rPr>
          <w:color w:val="222222"/>
        </w:rPr>
        <w:t>IsLocked</w:t>
      </w:r>
      <w:proofErr w:type="spellEnd"/>
      <w:r>
        <w:rPr>
          <w:color w:val="222222"/>
        </w:rPr>
        <w:t xml:space="preserve"> = true after 5 consecutive failures.</w:t>
      </w:r>
    </w:p>
    <w:p w14:paraId="406BFD02" w14:textId="77777777" w:rsidR="001266D0" w:rsidRDefault="00000000">
      <w:pPr>
        <w:pStyle w:val="ListParagraph"/>
        <w:numPr>
          <w:ilvl w:val="0"/>
          <w:numId w:val="2"/>
        </w:numPr>
        <w:spacing w:before="40" w:after="40"/>
      </w:pPr>
      <w:r>
        <w:rPr>
          <w:color w:val="222222"/>
        </w:rPr>
        <w:t xml:space="preserve">Token Validation — Issuer, audience, lifetime, and signing key are all validated in </w:t>
      </w:r>
      <w:proofErr w:type="spellStart"/>
      <w:r>
        <w:rPr>
          <w:color w:val="222222"/>
        </w:rPr>
        <w:t>AddJwtBearer</w:t>
      </w:r>
      <w:proofErr w:type="spellEnd"/>
      <w:r>
        <w:rPr>
          <w:color w:val="222222"/>
        </w:rPr>
        <w:t xml:space="preserve"> within Infrastructure </w:t>
      </w:r>
      <w:proofErr w:type="spellStart"/>
      <w:r>
        <w:rPr>
          <w:color w:val="222222"/>
        </w:rPr>
        <w:t>DependencyInjection</w:t>
      </w:r>
      <w:proofErr w:type="spellEnd"/>
      <w:r>
        <w:rPr>
          <w:color w:val="222222"/>
        </w:rPr>
        <w:t>.</w:t>
      </w:r>
    </w:p>
    <w:p w14:paraId="09D608FA" w14:textId="77777777" w:rsidR="001266D0" w:rsidRDefault="001266D0">
      <w:pPr>
        <w:spacing w:before="80" w:after="80"/>
      </w:pPr>
    </w:p>
    <w:p w14:paraId="73230ABA" w14:textId="77777777" w:rsidR="001266D0" w:rsidRDefault="00000000">
      <w:pPr>
        <w:pStyle w:val="Heading1"/>
        <w:pBdr>
          <w:bottom w:val="single" w:sz="4" w:space="6" w:color="2E75B6"/>
        </w:pBdr>
      </w:pPr>
      <w:r>
        <w:rPr>
          <w:color w:val="1F4E79"/>
        </w:rPr>
        <w:t>5. Performance &amp; Scalability</w:t>
      </w:r>
    </w:p>
    <w:p w14:paraId="225F6C58" w14:textId="77777777" w:rsidR="001266D0" w:rsidRDefault="00000000">
      <w:pPr>
        <w:spacing w:before="180" w:after="60"/>
      </w:pPr>
      <w:r>
        <w:rPr>
          <w:b/>
          <w:bCs/>
          <w:i/>
          <w:iCs/>
          <w:color w:val="444444"/>
        </w:rPr>
        <w:t>Are there defined SLAs or performance benchmarks?</w:t>
      </w:r>
    </w:p>
    <w:p w14:paraId="41CC3FAA" w14:textId="77777777" w:rsidR="001266D0" w:rsidRDefault="00000000">
      <w:pPr>
        <w:spacing w:before="40" w:after="100"/>
        <w:ind w:left="360"/>
      </w:pPr>
      <w:r>
        <w:rPr>
          <w:color w:val="222222"/>
        </w:rPr>
        <w:t>Formal SLAs are pending requirements documentation. Development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266D0" w14:paraId="64DFA004" w14:textId="77777777">
        <w:tblPrEx>
          <w:tblCellMar>
            <w:top w:w="0" w:type="dxa"/>
            <w:bottom w:w="0" w:type="dxa"/>
          </w:tblCellMar>
        </w:tblPrEx>
        <w:tc>
          <w:tcPr>
            <w:tcW w:w="2400" w:type="dxa"/>
            <w:tcBorders>
              <w:top w:val="single" w:sz="1" w:space="0" w:color="BBCFDF"/>
              <w:left w:val="single" w:sz="1" w:space="0" w:color="BBCFDF"/>
              <w:bottom w:val="single" w:sz="1" w:space="0" w:color="BBCFDF"/>
              <w:right w:val="single" w:sz="1" w:space="0" w:color="BBCFDF"/>
            </w:tcBorders>
            <w:shd w:val="clear" w:color="auto" w:fill="D6E4F0"/>
            <w:tcMar>
              <w:top w:w="80" w:type="dxa"/>
              <w:left w:w="120" w:type="dxa"/>
              <w:bottom w:w="80" w:type="dxa"/>
              <w:right w:w="120" w:type="dxa"/>
            </w:tcMar>
          </w:tcPr>
          <w:p w14:paraId="53B3327A" w14:textId="77777777" w:rsidR="001266D0" w:rsidRDefault="00000000">
            <w:r>
              <w:rPr>
                <w:b/>
                <w:bCs/>
                <w:color w:val="1F4E79"/>
                <w:sz w:val="20"/>
                <w:szCs w:val="20"/>
              </w:rPr>
              <w:t>Read operations</w:t>
            </w:r>
          </w:p>
        </w:tc>
        <w:tc>
          <w:tcPr>
            <w:tcW w:w="6960" w:type="dxa"/>
            <w:tcBorders>
              <w:top w:val="single" w:sz="1" w:space="0" w:color="BBCFDF"/>
              <w:left w:val="single" w:sz="1" w:space="0" w:color="BBCFDF"/>
              <w:bottom w:val="single" w:sz="1" w:space="0" w:color="BBCFDF"/>
              <w:right w:val="single" w:sz="1" w:space="0" w:color="BBCFDF"/>
            </w:tcBorders>
            <w:tcMar>
              <w:top w:w="80" w:type="dxa"/>
              <w:left w:w="120" w:type="dxa"/>
              <w:bottom w:w="80" w:type="dxa"/>
              <w:right w:w="120" w:type="dxa"/>
            </w:tcMar>
          </w:tcPr>
          <w:p w14:paraId="1CA4445F" w14:textId="77777777" w:rsidR="001266D0" w:rsidRDefault="00000000">
            <w:r>
              <w:rPr>
                <w:sz w:val="20"/>
                <w:szCs w:val="20"/>
              </w:rPr>
              <w:t>&lt; 200ms P95 response time under normal load</w:t>
            </w:r>
          </w:p>
        </w:tc>
      </w:tr>
    </w:tbl>
    <w:p w14:paraId="720A996F" w14:textId="77777777" w:rsidR="001266D0" w:rsidRDefault="001266D0">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266D0" w14:paraId="4CB764B1" w14:textId="77777777">
        <w:tblPrEx>
          <w:tblCellMar>
            <w:top w:w="0" w:type="dxa"/>
            <w:bottom w:w="0" w:type="dxa"/>
          </w:tblCellMar>
        </w:tblPrEx>
        <w:tc>
          <w:tcPr>
            <w:tcW w:w="2400" w:type="dxa"/>
            <w:tcBorders>
              <w:top w:val="single" w:sz="1" w:space="0" w:color="BBCFDF"/>
              <w:left w:val="single" w:sz="1" w:space="0" w:color="BBCFDF"/>
              <w:bottom w:val="single" w:sz="1" w:space="0" w:color="BBCFDF"/>
              <w:right w:val="single" w:sz="1" w:space="0" w:color="BBCFDF"/>
            </w:tcBorders>
            <w:shd w:val="clear" w:color="auto" w:fill="D6E4F0"/>
            <w:tcMar>
              <w:top w:w="80" w:type="dxa"/>
              <w:left w:w="120" w:type="dxa"/>
              <w:bottom w:w="80" w:type="dxa"/>
              <w:right w:w="120" w:type="dxa"/>
            </w:tcMar>
          </w:tcPr>
          <w:p w14:paraId="1BAD2B51" w14:textId="77777777" w:rsidR="001266D0" w:rsidRDefault="00000000">
            <w:r>
              <w:rPr>
                <w:b/>
                <w:bCs/>
                <w:color w:val="1F4E79"/>
                <w:sz w:val="20"/>
                <w:szCs w:val="20"/>
              </w:rPr>
              <w:t>Write operations</w:t>
            </w:r>
          </w:p>
        </w:tc>
        <w:tc>
          <w:tcPr>
            <w:tcW w:w="6960" w:type="dxa"/>
            <w:tcBorders>
              <w:top w:val="single" w:sz="1" w:space="0" w:color="BBCFDF"/>
              <w:left w:val="single" w:sz="1" w:space="0" w:color="BBCFDF"/>
              <w:bottom w:val="single" w:sz="1" w:space="0" w:color="BBCFDF"/>
              <w:right w:val="single" w:sz="1" w:space="0" w:color="BBCFDF"/>
            </w:tcBorders>
            <w:tcMar>
              <w:top w:w="80" w:type="dxa"/>
              <w:left w:w="120" w:type="dxa"/>
              <w:bottom w:w="80" w:type="dxa"/>
              <w:right w:w="120" w:type="dxa"/>
            </w:tcMar>
          </w:tcPr>
          <w:p w14:paraId="5D637CCB" w14:textId="77777777" w:rsidR="001266D0" w:rsidRDefault="00000000">
            <w:r>
              <w:rPr>
                <w:sz w:val="20"/>
                <w:szCs w:val="20"/>
              </w:rPr>
              <w:t>&lt; 500ms P95 under normal load</w:t>
            </w:r>
          </w:p>
        </w:tc>
      </w:tr>
    </w:tbl>
    <w:p w14:paraId="329EB830" w14:textId="77777777" w:rsidR="001266D0" w:rsidRDefault="001266D0">
      <w:pPr>
        <w:spacing w:before="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266D0" w14:paraId="2BC7CB41" w14:textId="77777777">
        <w:tblPrEx>
          <w:tblCellMar>
            <w:top w:w="0" w:type="dxa"/>
            <w:bottom w:w="0" w:type="dxa"/>
          </w:tblCellMar>
        </w:tblPrEx>
        <w:tc>
          <w:tcPr>
            <w:tcW w:w="2400" w:type="dxa"/>
            <w:tcBorders>
              <w:top w:val="single" w:sz="1" w:space="0" w:color="BBCFDF"/>
              <w:left w:val="single" w:sz="1" w:space="0" w:color="BBCFDF"/>
              <w:bottom w:val="single" w:sz="1" w:space="0" w:color="BBCFDF"/>
              <w:right w:val="single" w:sz="1" w:space="0" w:color="BBCFDF"/>
            </w:tcBorders>
            <w:shd w:val="clear" w:color="auto" w:fill="D6E4F0"/>
            <w:tcMar>
              <w:top w:w="80" w:type="dxa"/>
              <w:left w:w="120" w:type="dxa"/>
              <w:bottom w:w="80" w:type="dxa"/>
              <w:right w:w="120" w:type="dxa"/>
            </w:tcMar>
          </w:tcPr>
          <w:p w14:paraId="0E0CD3C5" w14:textId="77777777" w:rsidR="001266D0" w:rsidRDefault="00000000">
            <w:r>
              <w:rPr>
                <w:b/>
                <w:bCs/>
                <w:color w:val="1F4E79"/>
                <w:sz w:val="20"/>
                <w:szCs w:val="20"/>
              </w:rPr>
              <w:t>Uptime target</w:t>
            </w:r>
          </w:p>
        </w:tc>
        <w:tc>
          <w:tcPr>
            <w:tcW w:w="6960" w:type="dxa"/>
            <w:tcBorders>
              <w:top w:val="single" w:sz="1" w:space="0" w:color="BBCFDF"/>
              <w:left w:val="single" w:sz="1" w:space="0" w:color="BBCFDF"/>
              <w:bottom w:val="single" w:sz="1" w:space="0" w:color="BBCFDF"/>
              <w:right w:val="single" w:sz="1" w:space="0" w:color="BBCFDF"/>
            </w:tcBorders>
            <w:tcMar>
              <w:top w:w="80" w:type="dxa"/>
              <w:left w:w="120" w:type="dxa"/>
              <w:bottom w:w="80" w:type="dxa"/>
              <w:right w:w="120" w:type="dxa"/>
            </w:tcMar>
          </w:tcPr>
          <w:p w14:paraId="1D24E73D" w14:textId="77777777" w:rsidR="001266D0" w:rsidRDefault="00000000">
            <w:r>
              <w:rPr>
                <w:sz w:val="20"/>
                <w:szCs w:val="20"/>
              </w:rPr>
              <w:t>99.5% availability during business hours (07:00–19:00 SAST)</w:t>
            </w:r>
          </w:p>
        </w:tc>
      </w:tr>
    </w:tbl>
    <w:p w14:paraId="2ACD4A04" w14:textId="77777777" w:rsidR="001266D0" w:rsidRDefault="001266D0">
      <w:pPr>
        <w:spacing w:before="80" w:after="80"/>
      </w:pPr>
    </w:p>
    <w:p w14:paraId="209D4748" w14:textId="77777777" w:rsidR="001266D0" w:rsidRDefault="00000000">
      <w:pPr>
        <w:spacing w:before="180" w:after="60"/>
      </w:pPr>
      <w:r>
        <w:rPr>
          <w:b/>
          <w:bCs/>
          <w:i/>
          <w:iCs/>
          <w:color w:val="444444"/>
        </w:rPr>
        <w:t>What is the expected traffic/load profile?</w:t>
      </w:r>
    </w:p>
    <w:p w14:paraId="4CC4681A" w14:textId="77777777" w:rsidR="001266D0" w:rsidRDefault="00000000">
      <w:pPr>
        <w:spacing w:before="40" w:after="100"/>
        <w:ind w:left="360"/>
      </w:pPr>
      <w:r>
        <w:rPr>
          <w:color w:val="222222"/>
        </w:rPr>
        <w:t>Business-hours-driven with peaks at 08:00–10:00 and midday. The API is stateless (JWT, no server-side session), supporting horizontal scale-out. Exact concurrency targets to be confirmed in the requirements document.</w:t>
      </w:r>
    </w:p>
    <w:p w14:paraId="25DA8A35" w14:textId="77777777" w:rsidR="001266D0" w:rsidRDefault="001266D0">
      <w:pPr>
        <w:spacing w:before="80" w:after="80"/>
      </w:pPr>
    </w:p>
    <w:p w14:paraId="4BF4E826" w14:textId="77777777" w:rsidR="001266D0" w:rsidRDefault="00000000">
      <w:pPr>
        <w:pStyle w:val="Heading1"/>
        <w:pBdr>
          <w:bottom w:val="single" w:sz="4" w:space="6" w:color="2E75B6"/>
        </w:pBdr>
      </w:pPr>
      <w:r>
        <w:rPr>
          <w:color w:val="1F4E79"/>
        </w:rPr>
        <w:t>6. Data &amp; Integration</w:t>
      </w:r>
    </w:p>
    <w:p w14:paraId="0D7ACBEE" w14:textId="77777777" w:rsidR="001266D0" w:rsidRDefault="00000000">
      <w:pPr>
        <w:spacing w:before="180" w:after="60"/>
      </w:pPr>
      <w:r>
        <w:rPr>
          <w:b/>
          <w:bCs/>
          <w:i/>
          <w:iCs/>
          <w:color w:val="444444"/>
        </w:rPr>
        <w:t>Are there third-party integrations or external APIs?</w:t>
      </w:r>
    </w:p>
    <w:p w14:paraId="3AEE1FEF" w14:textId="77777777" w:rsidR="001266D0" w:rsidRDefault="00000000">
      <w:pPr>
        <w:spacing w:before="40" w:after="100"/>
        <w:ind w:left="360"/>
      </w:pPr>
      <w:r>
        <w:rPr>
          <w:color w:val="222222"/>
        </w:rPr>
        <w:t>All third-party integrations are abstracted behind interfaces in the Domain layer and implemented in Infrastructure, keeping the Application core independent. Integration patterns use Polly for retry and circuit-breaker policies. Current or planned integrations include medical aid/health insurance benefit verification APIs, SMS/WhatsApp notification gateways, transactional email services, and document/file storage.</w:t>
      </w:r>
    </w:p>
    <w:p w14:paraId="5C4BEFAF" w14:textId="77777777" w:rsidR="001266D0" w:rsidRDefault="001266D0">
      <w:pPr>
        <w:spacing w:before="80" w:after="80"/>
      </w:pPr>
    </w:p>
    <w:p w14:paraId="683700F0" w14:textId="77777777" w:rsidR="001266D0" w:rsidRDefault="00000000">
      <w:pPr>
        <w:pStyle w:val="Heading1"/>
        <w:pBdr>
          <w:bottom w:val="single" w:sz="4" w:space="6" w:color="2E75B6"/>
        </w:pBdr>
      </w:pPr>
      <w:r>
        <w:rPr>
          <w:color w:val="1F4E79"/>
        </w:rPr>
        <w:t>7. Unit Testing Strategy</w:t>
      </w:r>
    </w:p>
    <w:p w14:paraId="212BD467" w14:textId="77777777" w:rsidR="001266D0" w:rsidRDefault="00000000">
      <w:pPr>
        <w:spacing w:before="180" w:after="60"/>
      </w:pPr>
      <w:r>
        <w:rPr>
          <w:b/>
          <w:bCs/>
          <w:i/>
          <w:iCs/>
          <w:color w:val="444444"/>
        </w:rPr>
        <w:t>How is the unit testing project structured?</w:t>
      </w:r>
    </w:p>
    <w:p w14:paraId="29802566" w14:textId="77777777" w:rsidR="001266D0" w:rsidRDefault="00000000">
      <w:pPr>
        <w:spacing w:before="40" w:after="100"/>
        <w:ind w:left="360"/>
      </w:pPr>
      <w:proofErr w:type="spellStart"/>
      <w:r>
        <w:rPr>
          <w:color w:val="222222"/>
        </w:rPr>
        <w:t>TUTSportApp.UnitTest</w:t>
      </w:r>
      <w:proofErr w:type="spellEnd"/>
      <w:r>
        <w:rPr>
          <w:color w:val="222222"/>
        </w:rPr>
        <w:t xml:space="preserve"> is the current test project. As the solution grows, the test suite will mirror the production layer structure:</w:t>
      </w:r>
    </w:p>
    <w:p w14:paraId="34277373" w14:textId="77777777" w:rsidR="001266D0" w:rsidRDefault="00000000">
      <w:pPr>
        <w:pStyle w:val="ListParagraph"/>
        <w:numPr>
          <w:ilvl w:val="0"/>
          <w:numId w:val="2"/>
        </w:numPr>
        <w:spacing w:before="40" w:after="40"/>
      </w:pPr>
      <w:proofErr w:type="spellStart"/>
      <w:r>
        <w:rPr>
          <w:color w:val="222222"/>
        </w:rPr>
        <w:t>Domain.Tests</w:t>
      </w:r>
      <w:proofErr w:type="spellEnd"/>
      <w:r>
        <w:rPr>
          <w:color w:val="222222"/>
        </w:rPr>
        <w:t xml:space="preserve"> — Unit tests for entities, value objects, and domain logic.</w:t>
      </w:r>
    </w:p>
    <w:p w14:paraId="6884E1DC" w14:textId="77777777" w:rsidR="001266D0" w:rsidRDefault="00000000">
      <w:pPr>
        <w:pStyle w:val="ListParagraph"/>
        <w:numPr>
          <w:ilvl w:val="0"/>
          <w:numId w:val="2"/>
        </w:numPr>
        <w:spacing w:before="40" w:after="40"/>
      </w:pPr>
      <w:proofErr w:type="spellStart"/>
      <w:r>
        <w:rPr>
          <w:color w:val="222222"/>
        </w:rPr>
        <w:t>Application.Tests</w:t>
      </w:r>
      <w:proofErr w:type="spellEnd"/>
      <w:r>
        <w:rPr>
          <w:color w:val="222222"/>
        </w:rPr>
        <w:t xml:space="preserve"> — Tests for command/query handlers (e.g., </w:t>
      </w:r>
      <w:proofErr w:type="spellStart"/>
      <w:r>
        <w:rPr>
          <w:color w:val="222222"/>
        </w:rPr>
        <w:t>LoginCommandHandler</w:t>
      </w:r>
      <w:proofErr w:type="spellEnd"/>
      <w:r>
        <w:rPr>
          <w:color w:val="222222"/>
        </w:rPr>
        <w:t>), validators (</w:t>
      </w:r>
      <w:proofErr w:type="spellStart"/>
      <w:r>
        <w:rPr>
          <w:color w:val="222222"/>
        </w:rPr>
        <w:t>LoginCommandValidator</w:t>
      </w:r>
      <w:proofErr w:type="spellEnd"/>
      <w:r>
        <w:rPr>
          <w:color w:val="222222"/>
        </w:rPr>
        <w:t xml:space="preserve">), and </w:t>
      </w:r>
      <w:proofErr w:type="spellStart"/>
      <w:r>
        <w:rPr>
          <w:color w:val="222222"/>
        </w:rPr>
        <w:t>AutoMapper</w:t>
      </w:r>
      <w:proofErr w:type="spellEnd"/>
      <w:r>
        <w:rPr>
          <w:color w:val="222222"/>
        </w:rPr>
        <w:t xml:space="preserve"> profiles (</w:t>
      </w:r>
      <w:proofErr w:type="spellStart"/>
      <w:r>
        <w:rPr>
          <w:color w:val="222222"/>
        </w:rPr>
        <w:t>ProfileMapper</w:t>
      </w:r>
      <w:proofErr w:type="spellEnd"/>
      <w:r>
        <w:rPr>
          <w:color w:val="222222"/>
        </w:rPr>
        <w:t>).</w:t>
      </w:r>
    </w:p>
    <w:p w14:paraId="4CD9A204" w14:textId="77777777" w:rsidR="001266D0" w:rsidRDefault="00000000">
      <w:pPr>
        <w:pStyle w:val="ListParagraph"/>
        <w:numPr>
          <w:ilvl w:val="0"/>
          <w:numId w:val="2"/>
        </w:numPr>
        <w:spacing w:before="40" w:after="40"/>
      </w:pPr>
      <w:proofErr w:type="spellStart"/>
      <w:r>
        <w:rPr>
          <w:color w:val="222222"/>
        </w:rPr>
        <w:t>Infrastructure.Tests</w:t>
      </w:r>
      <w:proofErr w:type="spellEnd"/>
      <w:r>
        <w:rPr>
          <w:color w:val="222222"/>
        </w:rPr>
        <w:t xml:space="preserve"> — Integration tests for repositories using SQLite/</w:t>
      </w:r>
      <w:proofErr w:type="spellStart"/>
      <w:r>
        <w:rPr>
          <w:color w:val="222222"/>
        </w:rPr>
        <w:t>InMemory</w:t>
      </w:r>
      <w:proofErr w:type="spellEnd"/>
      <w:r>
        <w:rPr>
          <w:color w:val="222222"/>
        </w:rPr>
        <w:t xml:space="preserve"> EF Core provider. Tests for </w:t>
      </w:r>
      <w:proofErr w:type="spellStart"/>
      <w:r>
        <w:rPr>
          <w:color w:val="222222"/>
        </w:rPr>
        <w:t>AuthService</w:t>
      </w:r>
      <w:proofErr w:type="spellEnd"/>
      <w:r>
        <w:rPr>
          <w:color w:val="222222"/>
        </w:rPr>
        <w:t xml:space="preserve"> password hashing and token creation.</w:t>
      </w:r>
    </w:p>
    <w:p w14:paraId="54295F46" w14:textId="77777777" w:rsidR="001266D0" w:rsidRDefault="00000000">
      <w:pPr>
        <w:pStyle w:val="ListParagraph"/>
        <w:numPr>
          <w:ilvl w:val="0"/>
          <w:numId w:val="2"/>
        </w:numPr>
        <w:spacing w:before="40" w:after="40"/>
      </w:pPr>
      <w:proofErr w:type="spellStart"/>
      <w:r>
        <w:rPr>
          <w:color w:val="222222"/>
        </w:rPr>
        <w:t>Api.Tests</w:t>
      </w:r>
      <w:proofErr w:type="spellEnd"/>
      <w:r>
        <w:rPr>
          <w:color w:val="222222"/>
        </w:rPr>
        <w:t xml:space="preserve"> — Integration tests via </w:t>
      </w:r>
      <w:proofErr w:type="spellStart"/>
      <w:r>
        <w:rPr>
          <w:color w:val="222222"/>
        </w:rPr>
        <w:t>WebApplicationFactory</w:t>
      </w:r>
      <w:proofErr w:type="spellEnd"/>
      <w:r>
        <w:rPr>
          <w:color w:val="222222"/>
        </w:rPr>
        <w:t>&lt;Program&gt; covering controller responses and middleware.</w:t>
      </w:r>
    </w:p>
    <w:p w14:paraId="5238E8E1" w14:textId="77777777" w:rsidR="001266D0" w:rsidRDefault="001266D0">
      <w:pPr>
        <w:spacing w:before="80" w:after="80"/>
      </w:pPr>
    </w:p>
    <w:p w14:paraId="6C4AE184" w14:textId="77777777" w:rsidR="001266D0" w:rsidRDefault="00000000">
      <w:pPr>
        <w:spacing w:before="180" w:after="60"/>
      </w:pPr>
      <w:r>
        <w:rPr>
          <w:b/>
          <w:bCs/>
          <w:i/>
          <w:iCs/>
          <w:color w:val="444444"/>
        </w:rPr>
        <w:t>What testing framework and mocking strategy are we using?</w:t>
      </w:r>
    </w:p>
    <w:p w14:paraId="0FBA86BB" w14:textId="77777777" w:rsidR="001266D0" w:rsidRDefault="00000000">
      <w:pPr>
        <w:spacing w:before="40" w:after="100"/>
        <w:ind w:left="360"/>
      </w:pPr>
      <w:proofErr w:type="spellStart"/>
      <w:r>
        <w:rPr>
          <w:color w:val="222222"/>
        </w:rPr>
        <w:lastRenderedPageBreak/>
        <w:t>xUnit</w:t>
      </w:r>
      <w:proofErr w:type="spellEnd"/>
      <w:r>
        <w:rPr>
          <w:color w:val="222222"/>
        </w:rPr>
        <w:t xml:space="preserve"> is the framework. Supporting libraries are </w:t>
      </w:r>
      <w:proofErr w:type="spellStart"/>
      <w:r>
        <w:rPr>
          <w:color w:val="222222"/>
        </w:rPr>
        <w:t>Moq</w:t>
      </w:r>
      <w:proofErr w:type="spellEnd"/>
      <w:r>
        <w:rPr>
          <w:color w:val="222222"/>
        </w:rPr>
        <w:t xml:space="preserve"> for interface mocking, </w:t>
      </w:r>
      <w:proofErr w:type="spellStart"/>
      <w:r>
        <w:rPr>
          <w:color w:val="222222"/>
        </w:rPr>
        <w:t>FluentAssertions</w:t>
      </w:r>
      <w:proofErr w:type="spellEnd"/>
      <w:r>
        <w:rPr>
          <w:color w:val="222222"/>
        </w:rPr>
        <w:t xml:space="preserve"> for readable assertions, Bogus for realistic fake data, and </w:t>
      </w:r>
      <w:proofErr w:type="spellStart"/>
      <w:r>
        <w:rPr>
          <w:color w:val="222222"/>
        </w:rPr>
        <w:t>Microsoft.AspNetCore.Mvc.Testing</w:t>
      </w:r>
      <w:proofErr w:type="spellEnd"/>
      <w:r>
        <w:rPr>
          <w:color w:val="222222"/>
        </w:rPr>
        <w:t xml:space="preserve"> for full-pipeline integration tests.</w:t>
      </w:r>
    </w:p>
    <w:p w14:paraId="01CF7E7E" w14:textId="77777777" w:rsidR="001266D0" w:rsidRDefault="001266D0">
      <w:pPr>
        <w:spacing w:before="80" w:after="80"/>
      </w:pPr>
    </w:p>
    <w:p w14:paraId="103450FD" w14:textId="77777777" w:rsidR="001266D0" w:rsidRDefault="00000000">
      <w:pPr>
        <w:spacing w:before="180" w:after="60"/>
      </w:pPr>
      <w:r>
        <w:rPr>
          <w:b/>
          <w:bCs/>
          <w:i/>
          <w:iCs/>
          <w:color w:val="444444"/>
        </w:rPr>
        <w:t>What is the expected code coverage threshold?</w:t>
      </w:r>
    </w:p>
    <w:p w14:paraId="4213A9A4" w14:textId="77777777" w:rsidR="001266D0" w:rsidRDefault="00000000">
      <w:pPr>
        <w:spacing w:before="40" w:after="100"/>
        <w:ind w:left="360"/>
      </w:pPr>
      <w:r>
        <w:rPr>
          <w:color w:val="222222"/>
        </w:rPr>
        <w:t>Minimum 80% line coverage on the Application layer (handlers and validators), targeting 90%+ on the Domain layer. Coverage is measured via dotnet test --collect:"</w:t>
      </w:r>
      <w:proofErr w:type="spellStart"/>
      <w:r>
        <w:rPr>
          <w:color w:val="222222"/>
        </w:rPr>
        <w:t>XPlat</w:t>
      </w:r>
      <w:proofErr w:type="spellEnd"/>
      <w:r>
        <w:rPr>
          <w:color w:val="222222"/>
        </w:rPr>
        <w:t xml:space="preserve"> Code Coverage" and reported in CI. The SonarQube quality gate enforces coverage thresholds as a PR merge condition.</w:t>
      </w:r>
    </w:p>
    <w:p w14:paraId="075FDE1C" w14:textId="77777777" w:rsidR="001266D0" w:rsidRDefault="001266D0">
      <w:pPr>
        <w:spacing w:before="80" w:after="80"/>
      </w:pPr>
    </w:p>
    <w:p w14:paraId="03D8905F" w14:textId="77777777" w:rsidR="001266D0" w:rsidRDefault="00000000">
      <w:pPr>
        <w:pStyle w:val="Heading1"/>
        <w:pBdr>
          <w:bottom w:val="single" w:sz="4" w:space="6" w:color="2E75B6"/>
        </w:pBdr>
      </w:pPr>
      <w:r>
        <w:rPr>
          <w:color w:val="1F4E79"/>
        </w:rPr>
        <w:t>8. Code Quality, SonarQube &amp; Zero-Warning Policy</w:t>
      </w:r>
    </w:p>
    <w:p w14:paraId="262748D5" w14:textId="77777777" w:rsidR="001266D0" w:rsidRDefault="00000000">
      <w:pPr>
        <w:spacing w:before="180" w:after="60"/>
      </w:pPr>
      <w:r>
        <w:rPr>
          <w:b/>
          <w:bCs/>
          <w:i/>
          <w:iCs/>
          <w:color w:val="444444"/>
        </w:rPr>
        <w:t>What code quality tooling is in place?</w:t>
      </w:r>
    </w:p>
    <w:p w14:paraId="4C21CF52" w14:textId="77777777" w:rsidR="001266D0" w:rsidRDefault="00000000">
      <w:pPr>
        <w:spacing w:before="40" w:after="100"/>
        <w:ind w:left="360"/>
      </w:pPr>
      <w:proofErr w:type="spellStart"/>
      <w:r>
        <w:rPr>
          <w:color w:val="222222"/>
        </w:rPr>
        <w:t>SonarAnalyzer.CSharp</w:t>
      </w:r>
      <w:proofErr w:type="spellEnd"/>
      <w:r>
        <w:rPr>
          <w:color w:val="222222"/>
        </w:rPr>
        <w:t xml:space="preserve"> is configured as a </w:t>
      </w:r>
      <w:proofErr w:type="spellStart"/>
      <w:r>
        <w:rPr>
          <w:color w:val="222222"/>
        </w:rPr>
        <w:t>GlobalPackageReference</w:t>
      </w:r>
      <w:proofErr w:type="spellEnd"/>
      <w:r>
        <w:rPr>
          <w:color w:val="222222"/>
        </w:rPr>
        <w:t xml:space="preserve"> in </w:t>
      </w:r>
      <w:proofErr w:type="spellStart"/>
      <w:r>
        <w:rPr>
          <w:color w:val="222222"/>
        </w:rPr>
        <w:t>Directory.Packages.props</w:t>
      </w:r>
      <w:proofErr w:type="spellEnd"/>
      <w:r>
        <w:rPr>
          <w:color w:val="222222"/>
        </w:rPr>
        <w:t xml:space="preserve">, meaning every project in the solution automatically gets Sonar rules applied during build — no per-project reference is needed. Combined with the following global </w:t>
      </w:r>
      <w:proofErr w:type="spellStart"/>
      <w:r>
        <w:rPr>
          <w:color w:val="222222"/>
        </w:rPr>
        <w:t>MSBuild</w:t>
      </w:r>
      <w:proofErr w:type="spellEnd"/>
      <w:r>
        <w:rPr>
          <w:color w:val="222222"/>
        </w:rPr>
        <w:t xml:space="preserve"> properties, any Sonar or Roslyn warning causes the build to fail:</w:t>
      </w:r>
    </w:p>
    <w:p w14:paraId="481B629E" w14:textId="77777777" w:rsidR="001266D0" w:rsidRDefault="001266D0">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66D0" w14:paraId="69C446DA" w14:textId="77777777">
        <w:tblPrEx>
          <w:tblCellMar>
            <w:top w:w="0" w:type="dxa"/>
            <w:bottom w:w="0" w:type="dxa"/>
          </w:tblCellMar>
        </w:tblPrEx>
        <w:tc>
          <w:tcPr>
            <w:tcW w:w="9360" w:type="dxa"/>
            <w:tcBorders>
              <w:top w:val="single" w:sz="1" w:space="0" w:color="BBCFDF"/>
              <w:left w:val="single" w:sz="1" w:space="0" w:color="BBCFDF"/>
              <w:bottom w:val="single" w:sz="1" w:space="0" w:color="BBCFDF"/>
              <w:right w:val="single" w:sz="1" w:space="0" w:color="BBCFDF"/>
            </w:tcBorders>
            <w:shd w:val="clear" w:color="auto" w:fill="F0F4F8"/>
            <w:tcMar>
              <w:top w:w="80" w:type="dxa"/>
              <w:left w:w="200" w:type="dxa"/>
              <w:bottom w:w="80" w:type="dxa"/>
              <w:right w:w="120" w:type="dxa"/>
            </w:tcMar>
          </w:tcPr>
          <w:p w14:paraId="5DA31B77" w14:textId="77777777" w:rsidR="001266D0" w:rsidRDefault="00000000">
            <w:r>
              <w:rPr>
                <w:rFonts w:ascii="Courier New" w:eastAsia="Courier New" w:hAnsi="Courier New" w:cs="Courier New"/>
                <w:color w:val="1A1A2E"/>
                <w:sz w:val="18"/>
                <w:szCs w:val="18"/>
              </w:rPr>
              <w:t xml:space="preserve">&lt;!-- </w:t>
            </w:r>
            <w:proofErr w:type="spellStart"/>
            <w:r>
              <w:rPr>
                <w:rFonts w:ascii="Courier New" w:eastAsia="Courier New" w:hAnsi="Courier New" w:cs="Courier New"/>
                <w:color w:val="1A1A2E"/>
                <w:sz w:val="18"/>
                <w:szCs w:val="18"/>
              </w:rPr>
              <w:t>Directory.Packages.props</w:t>
            </w:r>
            <w:proofErr w:type="spellEnd"/>
            <w:r>
              <w:rPr>
                <w:rFonts w:ascii="Courier New" w:eastAsia="Courier New" w:hAnsi="Courier New" w:cs="Courier New"/>
                <w:color w:val="1A1A2E"/>
                <w:sz w:val="18"/>
                <w:szCs w:val="18"/>
              </w:rPr>
              <w:t xml:space="preserve"> --&gt;</w:t>
            </w:r>
          </w:p>
          <w:p w14:paraId="55619CCA" w14:textId="77777777" w:rsidR="001266D0" w:rsidRDefault="00000000">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TreatWarningsAsErrors</w:t>
            </w:r>
            <w:proofErr w:type="spellEnd"/>
            <w:r>
              <w:rPr>
                <w:rFonts w:ascii="Courier New" w:eastAsia="Courier New" w:hAnsi="Courier New" w:cs="Courier New"/>
                <w:color w:val="1A1A2E"/>
                <w:sz w:val="18"/>
                <w:szCs w:val="18"/>
              </w:rPr>
              <w:t>&gt;true&lt;/</w:t>
            </w:r>
            <w:proofErr w:type="spellStart"/>
            <w:r>
              <w:rPr>
                <w:rFonts w:ascii="Courier New" w:eastAsia="Courier New" w:hAnsi="Courier New" w:cs="Courier New"/>
                <w:color w:val="1A1A2E"/>
                <w:sz w:val="18"/>
                <w:szCs w:val="18"/>
              </w:rPr>
              <w:t>TreatWarningsAsErrors</w:t>
            </w:r>
            <w:proofErr w:type="spellEnd"/>
            <w:r>
              <w:rPr>
                <w:rFonts w:ascii="Courier New" w:eastAsia="Courier New" w:hAnsi="Courier New" w:cs="Courier New"/>
                <w:color w:val="1A1A2E"/>
                <w:sz w:val="18"/>
                <w:szCs w:val="18"/>
              </w:rPr>
              <w:t>&gt;</w:t>
            </w:r>
          </w:p>
          <w:p w14:paraId="1CC8D531" w14:textId="77777777" w:rsidR="001266D0" w:rsidRDefault="00000000">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AnalysisLevel</w:t>
            </w:r>
            <w:proofErr w:type="spellEnd"/>
            <w:r>
              <w:rPr>
                <w:rFonts w:ascii="Courier New" w:eastAsia="Courier New" w:hAnsi="Courier New" w:cs="Courier New"/>
                <w:color w:val="1A1A2E"/>
                <w:sz w:val="18"/>
                <w:szCs w:val="18"/>
              </w:rPr>
              <w:t>&gt;latest&lt;/</w:t>
            </w:r>
            <w:proofErr w:type="spellStart"/>
            <w:r>
              <w:rPr>
                <w:rFonts w:ascii="Courier New" w:eastAsia="Courier New" w:hAnsi="Courier New" w:cs="Courier New"/>
                <w:color w:val="1A1A2E"/>
                <w:sz w:val="18"/>
                <w:szCs w:val="18"/>
              </w:rPr>
              <w:t>AnalysisLevel</w:t>
            </w:r>
            <w:proofErr w:type="spellEnd"/>
            <w:r>
              <w:rPr>
                <w:rFonts w:ascii="Courier New" w:eastAsia="Courier New" w:hAnsi="Courier New" w:cs="Courier New"/>
                <w:color w:val="1A1A2E"/>
                <w:sz w:val="18"/>
                <w:szCs w:val="18"/>
              </w:rPr>
              <w:t>&gt;</w:t>
            </w:r>
          </w:p>
          <w:p w14:paraId="5FA76A2D" w14:textId="77777777" w:rsidR="001266D0" w:rsidRDefault="00000000">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AnalysisMode</w:t>
            </w:r>
            <w:proofErr w:type="spellEnd"/>
            <w:r>
              <w:rPr>
                <w:rFonts w:ascii="Courier New" w:eastAsia="Courier New" w:hAnsi="Courier New" w:cs="Courier New"/>
                <w:color w:val="1A1A2E"/>
                <w:sz w:val="18"/>
                <w:szCs w:val="18"/>
              </w:rPr>
              <w:t>&gt;All&lt;/</w:t>
            </w:r>
            <w:proofErr w:type="spellStart"/>
            <w:r>
              <w:rPr>
                <w:rFonts w:ascii="Courier New" w:eastAsia="Courier New" w:hAnsi="Courier New" w:cs="Courier New"/>
                <w:color w:val="1A1A2E"/>
                <w:sz w:val="18"/>
                <w:szCs w:val="18"/>
              </w:rPr>
              <w:t>AnalysisMode</w:t>
            </w:r>
            <w:proofErr w:type="spellEnd"/>
            <w:r>
              <w:rPr>
                <w:rFonts w:ascii="Courier New" w:eastAsia="Courier New" w:hAnsi="Courier New" w:cs="Courier New"/>
                <w:color w:val="1A1A2E"/>
                <w:sz w:val="18"/>
                <w:szCs w:val="18"/>
              </w:rPr>
              <w:t>&gt;</w:t>
            </w:r>
          </w:p>
          <w:p w14:paraId="34A13516" w14:textId="77777777" w:rsidR="001266D0" w:rsidRDefault="00000000">
            <w:r>
              <w:rPr>
                <w:rFonts w:ascii="Courier New" w:eastAsia="Courier New" w:hAnsi="Courier New" w:cs="Courier New"/>
                <w:color w:val="1A1A2E"/>
                <w:sz w:val="18"/>
                <w:szCs w:val="18"/>
              </w:rPr>
              <w:t>&lt;CodeAnalysisTreatWarningsAsErrors&gt;true&lt;/CodeAnalysisTreatWarningsAsErrors&gt;</w:t>
            </w:r>
          </w:p>
          <w:p w14:paraId="277E66AF" w14:textId="77777777" w:rsidR="001266D0" w:rsidRDefault="00000000">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EnforceCodeStyleInBuild</w:t>
            </w:r>
            <w:proofErr w:type="spellEnd"/>
            <w:r>
              <w:rPr>
                <w:rFonts w:ascii="Courier New" w:eastAsia="Courier New" w:hAnsi="Courier New" w:cs="Courier New"/>
                <w:color w:val="1A1A2E"/>
                <w:sz w:val="18"/>
                <w:szCs w:val="18"/>
              </w:rPr>
              <w:t>&gt;true&lt;/</w:t>
            </w:r>
            <w:proofErr w:type="spellStart"/>
            <w:r>
              <w:rPr>
                <w:rFonts w:ascii="Courier New" w:eastAsia="Courier New" w:hAnsi="Courier New" w:cs="Courier New"/>
                <w:color w:val="1A1A2E"/>
                <w:sz w:val="18"/>
                <w:szCs w:val="18"/>
              </w:rPr>
              <w:t>EnforceCodeStyleInBuild</w:t>
            </w:r>
            <w:proofErr w:type="spellEnd"/>
            <w:r>
              <w:rPr>
                <w:rFonts w:ascii="Courier New" w:eastAsia="Courier New" w:hAnsi="Courier New" w:cs="Courier New"/>
                <w:color w:val="1A1A2E"/>
                <w:sz w:val="18"/>
                <w:szCs w:val="18"/>
              </w:rPr>
              <w:t>&gt;</w:t>
            </w:r>
          </w:p>
          <w:p w14:paraId="37360B4F" w14:textId="77777777" w:rsidR="001266D0" w:rsidRDefault="001266D0"/>
          <w:p w14:paraId="2F5CB755" w14:textId="77777777" w:rsidR="001266D0" w:rsidRDefault="00000000">
            <w:r>
              <w:rPr>
                <w:rFonts w:ascii="Courier New" w:eastAsia="Courier New" w:hAnsi="Courier New" w:cs="Courier New"/>
                <w:color w:val="1A1A2E"/>
                <w:sz w:val="18"/>
                <w:szCs w:val="18"/>
              </w:rPr>
              <w:t xml:space="preserve">&lt;!-- </w:t>
            </w:r>
            <w:proofErr w:type="spellStart"/>
            <w:r>
              <w:rPr>
                <w:rFonts w:ascii="Courier New" w:eastAsia="Courier New" w:hAnsi="Courier New" w:cs="Courier New"/>
                <w:color w:val="1A1A2E"/>
                <w:sz w:val="18"/>
                <w:szCs w:val="18"/>
              </w:rPr>
              <w:t>SonarAnalyzer</w:t>
            </w:r>
            <w:proofErr w:type="spellEnd"/>
            <w:r>
              <w:rPr>
                <w:rFonts w:ascii="Courier New" w:eastAsia="Courier New" w:hAnsi="Courier New" w:cs="Courier New"/>
                <w:color w:val="1A1A2E"/>
                <w:sz w:val="18"/>
                <w:szCs w:val="18"/>
              </w:rPr>
              <w:t xml:space="preserve"> applied globally --&gt;</w:t>
            </w:r>
          </w:p>
          <w:p w14:paraId="12F2055C" w14:textId="77777777" w:rsidR="001266D0" w:rsidRDefault="00000000">
            <w:r>
              <w:rPr>
                <w:rFonts w:ascii="Courier New" w:eastAsia="Courier New" w:hAnsi="Courier New" w:cs="Courier New"/>
                <w:color w:val="1A1A2E"/>
                <w:sz w:val="18"/>
                <w:szCs w:val="18"/>
              </w:rPr>
              <w:t>&lt;</w:t>
            </w:r>
            <w:proofErr w:type="spellStart"/>
            <w:r>
              <w:rPr>
                <w:rFonts w:ascii="Courier New" w:eastAsia="Courier New" w:hAnsi="Courier New" w:cs="Courier New"/>
                <w:color w:val="1A1A2E"/>
                <w:sz w:val="18"/>
                <w:szCs w:val="18"/>
              </w:rPr>
              <w:t>GlobalPackageReference</w:t>
            </w:r>
            <w:proofErr w:type="spellEnd"/>
            <w:r>
              <w:rPr>
                <w:rFonts w:ascii="Courier New" w:eastAsia="Courier New" w:hAnsi="Courier New" w:cs="Courier New"/>
                <w:color w:val="1A1A2E"/>
                <w:sz w:val="18"/>
                <w:szCs w:val="18"/>
              </w:rPr>
              <w:t xml:space="preserve"> Include="</w:t>
            </w:r>
            <w:proofErr w:type="spellStart"/>
            <w:r>
              <w:rPr>
                <w:rFonts w:ascii="Courier New" w:eastAsia="Courier New" w:hAnsi="Courier New" w:cs="Courier New"/>
                <w:color w:val="1A1A2E"/>
                <w:sz w:val="18"/>
                <w:szCs w:val="18"/>
              </w:rPr>
              <w:t>SonarAnalyzer.CSharp</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PrivateAssets</w:t>
            </w:r>
            <w:proofErr w:type="spellEnd"/>
            <w:r>
              <w:rPr>
                <w:rFonts w:ascii="Courier New" w:eastAsia="Courier New" w:hAnsi="Courier New" w:cs="Courier New"/>
                <w:color w:val="1A1A2E"/>
                <w:sz w:val="18"/>
                <w:szCs w:val="18"/>
              </w:rPr>
              <w:t>="all" /&gt;</w:t>
            </w:r>
          </w:p>
        </w:tc>
      </w:tr>
    </w:tbl>
    <w:p w14:paraId="29DF0E63" w14:textId="77777777" w:rsidR="001266D0" w:rsidRDefault="001266D0">
      <w:pPr>
        <w:spacing w:before="80" w:after="80"/>
      </w:pPr>
    </w:p>
    <w:p w14:paraId="6D37A2BC" w14:textId="77777777" w:rsidR="001266D0" w:rsidRDefault="00000000">
      <w:pPr>
        <w:spacing w:before="180" w:after="60"/>
      </w:pPr>
      <w:r>
        <w:rPr>
          <w:b/>
          <w:bCs/>
          <w:i/>
          <w:iCs/>
          <w:color w:val="444444"/>
        </w:rPr>
        <w:t>What is the zero-warning policy and what does it require from developers?</w:t>
      </w:r>
    </w:p>
    <w:p w14:paraId="0A6AFE09" w14:textId="77777777" w:rsidR="001266D0" w:rsidRDefault="00000000">
      <w:pPr>
        <w:spacing w:before="40" w:after="100"/>
        <w:ind w:left="360"/>
      </w:pPr>
      <w:r>
        <w:rPr>
          <w:color w:val="222222"/>
        </w:rPr>
        <w:t xml:space="preserve">The zero-warning policy means: a PR cannot be merged if dotnet build or dotnet test produces any warning. This covers Roslyn </w:t>
      </w:r>
      <w:proofErr w:type="spellStart"/>
      <w:r>
        <w:rPr>
          <w:color w:val="222222"/>
        </w:rPr>
        <w:t>analyzers</w:t>
      </w:r>
      <w:proofErr w:type="spellEnd"/>
      <w:r>
        <w:rPr>
          <w:color w:val="222222"/>
        </w:rPr>
        <w:t>, IDE code-style rules, and SonarQube rules equally. Developers must:</w:t>
      </w:r>
    </w:p>
    <w:p w14:paraId="45A05CEF" w14:textId="77777777" w:rsidR="001266D0" w:rsidRDefault="00000000">
      <w:pPr>
        <w:pStyle w:val="ListParagraph"/>
        <w:numPr>
          <w:ilvl w:val="0"/>
          <w:numId w:val="2"/>
        </w:numPr>
        <w:spacing w:before="40" w:after="40"/>
      </w:pPr>
      <w:r>
        <w:rPr>
          <w:color w:val="222222"/>
        </w:rPr>
        <w:t xml:space="preserve">Remove all unused using directives — CS8019 is treated as an error. Confirmed fixes applied to </w:t>
      </w:r>
      <w:proofErr w:type="spellStart"/>
      <w:r>
        <w:rPr>
          <w:color w:val="222222"/>
        </w:rPr>
        <w:t>ProfileMapper.cs</w:t>
      </w:r>
      <w:proofErr w:type="spellEnd"/>
      <w:r>
        <w:rPr>
          <w:color w:val="222222"/>
        </w:rPr>
        <w:t xml:space="preserve"> (5 unused usings removed) and </w:t>
      </w:r>
      <w:proofErr w:type="spellStart"/>
      <w:r>
        <w:rPr>
          <w:color w:val="222222"/>
        </w:rPr>
        <w:t>AuthService.cs</w:t>
      </w:r>
      <w:proofErr w:type="spellEnd"/>
      <w:r>
        <w:rPr>
          <w:color w:val="222222"/>
        </w:rPr>
        <w:t xml:space="preserve"> (2 unused usings removed).</w:t>
      </w:r>
    </w:p>
    <w:p w14:paraId="341A2979" w14:textId="77777777" w:rsidR="001266D0" w:rsidRDefault="00000000">
      <w:pPr>
        <w:pStyle w:val="ListParagraph"/>
        <w:numPr>
          <w:ilvl w:val="0"/>
          <w:numId w:val="2"/>
        </w:numPr>
        <w:spacing w:before="40" w:after="40"/>
      </w:pPr>
      <w:r>
        <w:rPr>
          <w:color w:val="222222"/>
        </w:rPr>
        <w:t xml:space="preserve">Use pattern-matching null checks — Prefer is null / is not null over == null / != null. S6397/IDE0150 violations were corrected in </w:t>
      </w:r>
      <w:proofErr w:type="spellStart"/>
      <w:r>
        <w:rPr>
          <w:color w:val="222222"/>
        </w:rPr>
        <w:t>LoginRepository.cs</w:t>
      </w:r>
      <w:proofErr w:type="spellEnd"/>
      <w:r>
        <w:rPr>
          <w:color w:val="222222"/>
        </w:rPr>
        <w:t>.</w:t>
      </w:r>
    </w:p>
    <w:p w14:paraId="6AB5C8F7" w14:textId="77777777" w:rsidR="001266D0" w:rsidRDefault="00000000">
      <w:pPr>
        <w:pStyle w:val="ListParagraph"/>
        <w:numPr>
          <w:ilvl w:val="0"/>
          <w:numId w:val="2"/>
        </w:numPr>
        <w:spacing w:before="40" w:after="40"/>
      </w:pPr>
      <w:r>
        <w:rPr>
          <w:color w:val="222222"/>
        </w:rPr>
        <w:t xml:space="preserve">Never leave commented-out code — SonarQube S125 flags commented code blocks. Removed commented-out </w:t>
      </w:r>
      <w:proofErr w:type="spellStart"/>
      <w:r>
        <w:rPr>
          <w:color w:val="222222"/>
        </w:rPr>
        <w:t>cancellationToken</w:t>
      </w:r>
      <w:proofErr w:type="spellEnd"/>
      <w:r>
        <w:rPr>
          <w:color w:val="222222"/>
        </w:rPr>
        <w:t xml:space="preserve"> parameters from </w:t>
      </w:r>
      <w:proofErr w:type="spellStart"/>
      <w:r>
        <w:rPr>
          <w:color w:val="222222"/>
        </w:rPr>
        <w:t>LoginCommandHandler</w:t>
      </w:r>
      <w:proofErr w:type="spellEnd"/>
      <w:r>
        <w:rPr>
          <w:color w:val="222222"/>
        </w:rPr>
        <w:t>.</w:t>
      </w:r>
    </w:p>
    <w:p w14:paraId="5AEBACE8" w14:textId="77777777" w:rsidR="001266D0" w:rsidRDefault="00000000">
      <w:pPr>
        <w:pStyle w:val="ListParagraph"/>
        <w:numPr>
          <w:ilvl w:val="0"/>
          <w:numId w:val="2"/>
        </w:numPr>
        <w:spacing w:before="40" w:after="40"/>
      </w:pPr>
      <w:r>
        <w:rPr>
          <w:color w:val="222222"/>
        </w:rPr>
        <w:t xml:space="preserve">Provide default cases in all switch statements — SonarQube S131 requires a default branch. Added to </w:t>
      </w:r>
      <w:proofErr w:type="spellStart"/>
      <w:r>
        <w:rPr>
          <w:color w:val="222222"/>
        </w:rPr>
        <w:t>ApplicationDbContext.SaveChangesAsync</w:t>
      </w:r>
      <w:proofErr w:type="spellEnd"/>
      <w:r>
        <w:rPr>
          <w:color w:val="222222"/>
        </w:rPr>
        <w:t>.</w:t>
      </w:r>
    </w:p>
    <w:p w14:paraId="1E551FD1" w14:textId="77777777" w:rsidR="001266D0" w:rsidRDefault="00000000">
      <w:pPr>
        <w:pStyle w:val="ListParagraph"/>
        <w:numPr>
          <w:ilvl w:val="0"/>
          <w:numId w:val="2"/>
        </w:numPr>
        <w:spacing w:before="40" w:after="40"/>
      </w:pPr>
      <w:r>
        <w:rPr>
          <w:color w:val="222222"/>
        </w:rPr>
        <w:t>Use collection expressions in C# 12 — IDE0300 prefers [] over new[] { }. Updated where applicable.</w:t>
      </w:r>
    </w:p>
    <w:p w14:paraId="42B25F1B" w14:textId="77777777" w:rsidR="001266D0" w:rsidRDefault="00000000">
      <w:pPr>
        <w:pStyle w:val="ListParagraph"/>
        <w:numPr>
          <w:ilvl w:val="0"/>
          <w:numId w:val="2"/>
        </w:numPr>
        <w:spacing w:before="40" w:after="40"/>
      </w:pPr>
      <w:r>
        <w:rPr>
          <w:color w:val="222222"/>
        </w:rPr>
        <w:t xml:space="preserve">Do not duplicate validation strategies — mixing </w:t>
      </w:r>
      <w:proofErr w:type="spellStart"/>
      <w:r>
        <w:rPr>
          <w:color w:val="222222"/>
        </w:rPr>
        <w:t>DataAnnotation</w:t>
      </w:r>
      <w:proofErr w:type="spellEnd"/>
      <w:r>
        <w:rPr>
          <w:color w:val="222222"/>
        </w:rPr>
        <w:t xml:space="preserve"> attributes + </w:t>
      </w:r>
      <w:proofErr w:type="spellStart"/>
      <w:r>
        <w:rPr>
          <w:color w:val="222222"/>
        </w:rPr>
        <w:t>IValidatableObject</w:t>
      </w:r>
      <w:proofErr w:type="spellEnd"/>
      <w:r>
        <w:rPr>
          <w:color w:val="222222"/>
        </w:rPr>
        <w:t xml:space="preserve"> with </w:t>
      </w:r>
      <w:proofErr w:type="spellStart"/>
      <w:r>
        <w:rPr>
          <w:color w:val="222222"/>
        </w:rPr>
        <w:t>FluentValidation</w:t>
      </w:r>
      <w:proofErr w:type="spellEnd"/>
      <w:r>
        <w:rPr>
          <w:color w:val="222222"/>
        </w:rPr>
        <w:t xml:space="preserve"> on the same type triggers SonarQube S4457. </w:t>
      </w:r>
      <w:proofErr w:type="spellStart"/>
      <w:r>
        <w:rPr>
          <w:color w:val="222222"/>
        </w:rPr>
        <w:t>LoginCommand</w:t>
      </w:r>
      <w:proofErr w:type="spellEnd"/>
      <w:r>
        <w:rPr>
          <w:color w:val="222222"/>
        </w:rPr>
        <w:t xml:space="preserve"> was cleaned to use </w:t>
      </w:r>
      <w:proofErr w:type="spellStart"/>
      <w:r>
        <w:rPr>
          <w:color w:val="222222"/>
        </w:rPr>
        <w:t>FluentValidation</w:t>
      </w:r>
      <w:proofErr w:type="spellEnd"/>
      <w:r>
        <w:rPr>
          <w:color w:val="222222"/>
        </w:rPr>
        <w:t xml:space="preserve"> exclusively via </w:t>
      </w:r>
      <w:proofErr w:type="spellStart"/>
      <w:r>
        <w:rPr>
          <w:color w:val="222222"/>
        </w:rPr>
        <w:t>LoginCommandValidator</w:t>
      </w:r>
      <w:proofErr w:type="spellEnd"/>
      <w:r>
        <w:rPr>
          <w:color w:val="222222"/>
        </w:rPr>
        <w:t>.</w:t>
      </w:r>
    </w:p>
    <w:p w14:paraId="4FF761E7" w14:textId="77777777" w:rsidR="001266D0" w:rsidRDefault="00000000">
      <w:pPr>
        <w:pStyle w:val="ListParagraph"/>
        <w:numPr>
          <w:ilvl w:val="0"/>
          <w:numId w:val="2"/>
        </w:numPr>
        <w:spacing w:before="40" w:after="40"/>
      </w:pPr>
      <w:r>
        <w:rPr>
          <w:color w:val="222222"/>
        </w:rPr>
        <w:lastRenderedPageBreak/>
        <w:t xml:space="preserve">Avoid redundant using directives introduced by implicit usings — e.g., using System; in </w:t>
      </w:r>
      <w:proofErr w:type="spellStart"/>
      <w:r>
        <w:rPr>
          <w:color w:val="222222"/>
        </w:rPr>
        <w:t>AuditableEntity.cs</w:t>
      </w:r>
      <w:proofErr w:type="spellEnd"/>
      <w:r>
        <w:rPr>
          <w:color w:val="222222"/>
        </w:rPr>
        <w:t xml:space="preserve"> was removed.</w:t>
      </w:r>
    </w:p>
    <w:p w14:paraId="6073C59D" w14:textId="77777777" w:rsidR="001266D0" w:rsidRDefault="00000000">
      <w:pPr>
        <w:pStyle w:val="ListParagraph"/>
        <w:numPr>
          <w:ilvl w:val="0"/>
          <w:numId w:val="2"/>
        </w:numPr>
        <w:spacing w:before="40" w:after="40"/>
      </w:pPr>
      <w:r>
        <w:rPr>
          <w:color w:val="222222"/>
        </w:rPr>
        <w:t xml:space="preserve">Rename variables clearly — avoid shadowing outer scope names (e.g., a local variable named mapper shadowing the field _mapper). Renamed to </w:t>
      </w:r>
      <w:proofErr w:type="spellStart"/>
      <w:r>
        <w:rPr>
          <w:color w:val="222222"/>
        </w:rPr>
        <w:t>loginModel</w:t>
      </w:r>
      <w:proofErr w:type="spellEnd"/>
      <w:r>
        <w:rPr>
          <w:color w:val="222222"/>
        </w:rPr>
        <w:t xml:space="preserve"> in </w:t>
      </w:r>
      <w:proofErr w:type="spellStart"/>
      <w:r>
        <w:rPr>
          <w:color w:val="222222"/>
        </w:rPr>
        <w:t>LoginCommandHandler</w:t>
      </w:r>
      <w:proofErr w:type="spellEnd"/>
      <w:r>
        <w:rPr>
          <w:color w:val="222222"/>
        </w:rPr>
        <w:t>.</w:t>
      </w:r>
    </w:p>
    <w:p w14:paraId="54710B0D" w14:textId="77777777" w:rsidR="001266D0" w:rsidRDefault="001266D0">
      <w:pPr>
        <w:spacing w:before="80" w:after="80"/>
      </w:pPr>
    </w:p>
    <w:p w14:paraId="0FC1C499" w14:textId="77777777" w:rsidR="001266D0" w:rsidRDefault="00000000">
      <w:pPr>
        <w:spacing w:before="180" w:after="60"/>
      </w:pPr>
      <w:r>
        <w:rPr>
          <w:b/>
          <w:bCs/>
          <w:i/>
          <w:iCs/>
          <w:color w:val="444444"/>
        </w:rPr>
        <w:t>How are SonarQube rules applied — is there a sonar-</w:t>
      </w:r>
      <w:proofErr w:type="spellStart"/>
      <w:r>
        <w:rPr>
          <w:b/>
          <w:bCs/>
          <w:i/>
          <w:iCs/>
          <w:color w:val="444444"/>
        </w:rPr>
        <w:t>project.properties</w:t>
      </w:r>
      <w:proofErr w:type="spellEnd"/>
      <w:r>
        <w:rPr>
          <w:b/>
          <w:bCs/>
          <w:i/>
          <w:iCs/>
          <w:color w:val="444444"/>
        </w:rPr>
        <w:t xml:space="preserve"> or server?</w:t>
      </w:r>
    </w:p>
    <w:p w14:paraId="179FD104" w14:textId="77777777" w:rsidR="001266D0" w:rsidRDefault="00000000">
      <w:pPr>
        <w:spacing w:before="40" w:after="100"/>
        <w:ind w:left="360"/>
      </w:pPr>
      <w:proofErr w:type="spellStart"/>
      <w:r>
        <w:rPr>
          <w:color w:val="222222"/>
        </w:rPr>
        <w:t>SonarAnalyzer.CSharp</w:t>
      </w:r>
      <w:proofErr w:type="spellEnd"/>
      <w:r>
        <w:rPr>
          <w:color w:val="222222"/>
        </w:rPr>
        <w:t xml:space="preserve"> is the Roslyn-based Sonar </w:t>
      </w:r>
      <w:proofErr w:type="spellStart"/>
      <w:r>
        <w:rPr>
          <w:color w:val="222222"/>
        </w:rPr>
        <w:t>analyzer</w:t>
      </w:r>
      <w:proofErr w:type="spellEnd"/>
      <w:r>
        <w:rPr>
          <w:color w:val="222222"/>
        </w:rPr>
        <w:t xml:space="preserve"> that runs inline during dotnet build — it does not require a SonarQube server connection for local development. When connected to a SonarQube or </w:t>
      </w:r>
      <w:proofErr w:type="spellStart"/>
      <w:r>
        <w:rPr>
          <w:color w:val="222222"/>
        </w:rPr>
        <w:t>SonarCloud</w:t>
      </w:r>
      <w:proofErr w:type="spellEnd"/>
      <w:r>
        <w:rPr>
          <w:color w:val="222222"/>
        </w:rPr>
        <w:t xml:space="preserve"> server via the Scanner for .NET (dotnet </w:t>
      </w:r>
      <w:proofErr w:type="spellStart"/>
      <w:r>
        <w:rPr>
          <w:color w:val="222222"/>
        </w:rPr>
        <w:t>sonarscanner</w:t>
      </w:r>
      <w:proofErr w:type="spellEnd"/>
      <w:r>
        <w:rPr>
          <w:color w:val="222222"/>
        </w:rPr>
        <w:t>), it additionally uploads results and enforces quality gates. A sonar-</w:t>
      </w:r>
      <w:proofErr w:type="spellStart"/>
      <w:r>
        <w:rPr>
          <w:color w:val="222222"/>
        </w:rPr>
        <w:t>project.properties</w:t>
      </w:r>
      <w:proofErr w:type="spellEnd"/>
      <w:r>
        <w:rPr>
          <w:color w:val="222222"/>
        </w:rPr>
        <w:t xml:space="preserve"> or CI pipeline scanner configuration should define:</w:t>
      </w:r>
    </w:p>
    <w:p w14:paraId="6922391A" w14:textId="77777777" w:rsidR="001266D0" w:rsidRDefault="001266D0">
      <w:pPr>
        <w:spacing w:before="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66D0" w14:paraId="64F5D1A5" w14:textId="77777777">
        <w:tblPrEx>
          <w:tblCellMar>
            <w:top w:w="0" w:type="dxa"/>
            <w:bottom w:w="0" w:type="dxa"/>
          </w:tblCellMar>
        </w:tblPrEx>
        <w:tc>
          <w:tcPr>
            <w:tcW w:w="9360" w:type="dxa"/>
            <w:tcBorders>
              <w:top w:val="single" w:sz="1" w:space="0" w:color="BBCFDF"/>
              <w:left w:val="single" w:sz="1" w:space="0" w:color="BBCFDF"/>
              <w:bottom w:val="single" w:sz="1" w:space="0" w:color="BBCFDF"/>
              <w:right w:val="single" w:sz="1" w:space="0" w:color="BBCFDF"/>
            </w:tcBorders>
            <w:shd w:val="clear" w:color="auto" w:fill="F0F4F8"/>
            <w:tcMar>
              <w:top w:w="80" w:type="dxa"/>
              <w:left w:w="200" w:type="dxa"/>
              <w:bottom w:w="80" w:type="dxa"/>
              <w:right w:w="120" w:type="dxa"/>
            </w:tcMar>
          </w:tcPr>
          <w:p w14:paraId="60F5928E" w14:textId="77777777" w:rsidR="001266D0" w:rsidRDefault="00000000">
            <w:proofErr w:type="spellStart"/>
            <w:r>
              <w:rPr>
                <w:rFonts w:ascii="Courier New" w:eastAsia="Courier New" w:hAnsi="Courier New" w:cs="Courier New"/>
                <w:color w:val="1A1A2E"/>
                <w:sz w:val="18"/>
                <w:szCs w:val="18"/>
              </w:rPr>
              <w:t>sonar.projectKey</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TUTSportApp</w:t>
            </w:r>
            <w:proofErr w:type="spellEnd"/>
          </w:p>
          <w:p w14:paraId="480431F2" w14:textId="77777777" w:rsidR="001266D0" w:rsidRDefault="00000000">
            <w:proofErr w:type="spellStart"/>
            <w:r>
              <w:rPr>
                <w:rFonts w:ascii="Courier New" w:eastAsia="Courier New" w:hAnsi="Courier New" w:cs="Courier New"/>
                <w:color w:val="1A1A2E"/>
                <w:sz w:val="18"/>
                <w:szCs w:val="18"/>
              </w:rPr>
              <w:t>sonar.projectName</w:t>
            </w:r>
            <w:proofErr w:type="spellEnd"/>
            <w:r>
              <w:rPr>
                <w:rFonts w:ascii="Courier New" w:eastAsia="Courier New" w:hAnsi="Courier New" w:cs="Courier New"/>
                <w:color w:val="1A1A2E"/>
                <w:sz w:val="18"/>
                <w:szCs w:val="18"/>
              </w:rPr>
              <w:t>=TUT Sport Application</w:t>
            </w:r>
          </w:p>
          <w:p w14:paraId="63FCDB04" w14:textId="77777777" w:rsidR="001266D0" w:rsidRDefault="00000000">
            <w:proofErr w:type="spellStart"/>
            <w:r>
              <w:rPr>
                <w:rFonts w:ascii="Courier New" w:eastAsia="Courier New" w:hAnsi="Courier New" w:cs="Courier New"/>
                <w:color w:val="1A1A2E"/>
                <w:sz w:val="18"/>
                <w:szCs w:val="18"/>
              </w:rPr>
              <w:t>sonar.cs.opencover.reportsPaths</w:t>
            </w:r>
            <w:proofErr w:type="spellEnd"/>
            <w:r>
              <w:rPr>
                <w:rFonts w:ascii="Courier New" w:eastAsia="Courier New" w:hAnsi="Courier New" w:cs="Courier New"/>
                <w:color w:val="1A1A2E"/>
                <w:sz w:val="18"/>
                <w:szCs w:val="18"/>
              </w:rPr>
              <w:t>=**/coverage.opencover.xml</w:t>
            </w:r>
          </w:p>
          <w:p w14:paraId="766B1AF1" w14:textId="77777777" w:rsidR="001266D0" w:rsidRDefault="00000000">
            <w:proofErr w:type="spellStart"/>
            <w:r>
              <w:rPr>
                <w:rFonts w:ascii="Courier New" w:eastAsia="Courier New" w:hAnsi="Courier New" w:cs="Courier New"/>
                <w:color w:val="1A1A2E"/>
                <w:sz w:val="18"/>
                <w:szCs w:val="18"/>
              </w:rPr>
              <w:t>sonar.coverage.exclusions</w:t>
            </w:r>
            <w:proofErr w:type="spellEnd"/>
            <w:r>
              <w:rPr>
                <w:rFonts w:ascii="Courier New" w:eastAsia="Courier New" w:hAnsi="Courier New" w:cs="Courier New"/>
                <w:color w:val="1A1A2E"/>
                <w:sz w:val="18"/>
                <w:szCs w:val="18"/>
              </w:rPr>
              <w:t>=**/*Tests*/**,**/Migrations/**</w:t>
            </w:r>
          </w:p>
          <w:p w14:paraId="05F57E60" w14:textId="77777777" w:rsidR="001266D0" w:rsidRDefault="00000000">
            <w:proofErr w:type="spellStart"/>
            <w:r>
              <w:rPr>
                <w:rFonts w:ascii="Courier New" w:eastAsia="Courier New" w:hAnsi="Courier New" w:cs="Courier New"/>
                <w:color w:val="1A1A2E"/>
                <w:sz w:val="18"/>
                <w:szCs w:val="18"/>
              </w:rPr>
              <w:t>sonar.cpd.exclusions</w:t>
            </w:r>
            <w:proofErr w:type="spellEnd"/>
            <w:r>
              <w:rPr>
                <w:rFonts w:ascii="Courier New" w:eastAsia="Courier New" w:hAnsi="Courier New" w:cs="Courier New"/>
                <w:color w:val="1A1A2E"/>
                <w:sz w:val="18"/>
                <w:szCs w:val="18"/>
              </w:rPr>
              <w:t>=**/Migrations/**</w:t>
            </w:r>
          </w:p>
          <w:p w14:paraId="35FDCEDD" w14:textId="77777777" w:rsidR="001266D0" w:rsidRDefault="00000000">
            <w:proofErr w:type="spellStart"/>
            <w:r>
              <w:rPr>
                <w:rFonts w:ascii="Courier New" w:eastAsia="Courier New" w:hAnsi="Courier New" w:cs="Courier New"/>
                <w:color w:val="1A1A2E"/>
                <w:sz w:val="18"/>
                <w:szCs w:val="18"/>
              </w:rPr>
              <w:t>sonar.qualitygate.wait</w:t>
            </w:r>
            <w:proofErr w:type="spellEnd"/>
            <w:r>
              <w:rPr>
                <w:rFonts w:ascii="Courier New" w:eastAsia="Courier New" w:hAnsi="Courier New" w:cs="Courier New"/>
                <w:color w:val="1A1A2E"/>
                <w:sz w:val="18"/>
                <w:szCs w:val="18"/>
              </w:rPr>
              <w:t>=true</w:t>
            </w:r>
          </w:p>
        </w:tc>
      </w:tr>
    </w:tbl>
    <w:p w14:paraId="45788D38" w14:textId="77777777" w:rsidR="001266D0" w:rsidRDefault="001266D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160"/>
        <w:gridCol w:w="3400"/>
      </w:tblGrid>
      <w:tr w:rsidR="001266D0" w14:paraId="5CD1913B" w14:textId="77777777">
        <w:tblPrEx>
          <w:tblCellMar>
            <w:top w:w="0" w:type="dxa"/>
            <w:bottom w:w="0" w:type="dxa"/>
          </w:tblCellMar>
        </w:tblPrEx>
        <w:trPr>
          <w:tblHeader/>
        </w:trPr>
        <w:tc>
          <w:tcPr>
            <w:tcW w:w="1800" w:type="dxa"/>
            <w:tcBorders>
              <w:top w:val="single" w:sz="1" w:space="0" w:color="BBCFDF"/>
              <w:left w:val="single" w:sz="1" w:space="0" w:color="BBCFDF"/>
              <w:bottom w:val="single" w:sz="1" w:space="0" w:color="BBCFDF"/>
              <w:right w:val="single" w:sz="1" w:space="0" w:color="BBCFDF"/>
            </w:tcBorders>
            <w:shd w:val="clear" w:color="auto" w:fill="1F4E79"/>
            <w:tcMar>
              <w:top w:w="80" w:type="dxa"/>
              <w:left w:w="120" w:type="dxa"/>
              <w:bottom w:w="80" w:type="dxa"/>
              <w:right w:w="120" w:type="dxa"/>
            </w:tcMar>
          </w:tcPr>
          <w:p w14:paraId="3CCE74DC" w14:textId="77777777" w:rsidR="001266D0" w:rsidRDefault="00000000">
            <w:r>
              <w:rPr>
                <w:b/>
                <w:bCs/>
                <w:color w:val="FFFFFF"/>
                <w:sz w:val="20"/>
                <w:szCs w:val="20"/>
              </w:rPr>
              <w:t>Rule ID</w:t>
            </w:r>
          </w:p>
        </w:tc>
        <w:tc>
          <w:tcPr>
            <w:tcW w:w="4160" w:type="dxa"/>
            <w:tcBorders>
              <w:top w:val="single" w:sz="1" w:space="0" w:color="BBCFDF"/>
              <w:left w:val="single" w:sz="1" w:space="0" w:color="BBCFDF"/>
              <w:bottom w:val="single" w:sz="1" w:space="0" w:color="BBCFDF"/>
              <w:right w:val="single" w:sz="1" w:space="0" w:color="BBCFDF"/>
            </w:tcBorders>
            <w:shd w:val="clear" w:color="auto" w:fill="1F4E79"/>
            <w:tcMar>
              <w:top w:w="80" w:type="dxa"/>
              <w:left w:w="120" w:type="dxa"/>
              <w:bottom w:w="80" w:type="dxa"/>
              <w:right w:w="120" w:type="dxa"/>
            </w:tcMar>
          </w:tcPr>
          <w:p w14:paraId="5765FBC1" w14:textId="77777777" w:rsidR="001266D0" w:rsidRDefault="00000000">
            <w:r>
              <w:rPr>
                <w:b/>
                <w:bCs/>
                <w:color w:val="FFFFFF"/>
                <w:sz w:val="20"/>
                <w:szCs w:val="20"/>
              </w:rPr>
              <w:t>Description</w:t>
            </w:r>
          </w:p>
        </w:tc>
        <w:tc>
          <w:tcPr>
            <w:tcW w:w="3400" w:type="dxa"/>
            <w:tcBorders>
              <w:top w:val="single" w:sz="1" w:space="0" w:color="BBCFDF"/>
              <w:left w:val="single" w:sz="1" w:space="0" w:color="BBCFDF"/>
              <w:bottom w:val="single" w:sz="1" w:space="0" w:color="BBCFDF"/>
              <w:right w:val="single" w:sz="1" w:space="0" w:color="BBCFDF"/>
            </w:tcBorders>
            <w:shd w:val="clear" w:color="auto" w:fill="1F4E79"/>
            <w:tcMar>
              <w:top w:w="80" w:type="dxa"/>
              <w:left w:w="120" w:type="dxa"/>
              <w:bottom w:w="80" w:type="dxa"/>
              <w:right w:w="120" w:type="dxa"/>
            </w:tcMar>
          </w:tcPr>
          <w:p w14:paraId="7E78012A" w14:textId="77777777" w:rsidR="001266D0" w:rsidRDefault="00000000">
            <w:r>
              <w:rPr>
                <w:b/>
                <w:bCs/>
                <w:color w:val="FFFFFF"/>
                <w:sz w:val="20"/>
                <w:szCs w:val="20"/>
              </w:rPr>
              <w:t>Status in this repo</w:t>
            </w:r>
          </w:p>
        </w:tc>
      </w:tr>
      <w:tr w:rsidR="001266D0" w14:paraId="188DD4ED" w14:textId="77777777">
        <w:tblPrEx>
          <w:tblCellMar>
            <w:top w:w="0" w:type="dxa"/>
            <w:bottom w:w="0" w:type="dxa"/>
          </w:tblCellMar>
        </w:tblPrEx>
        <w:tc>
          <w:tcPr>
            <w:tcW w:w="1800" w:type="dxa"/>
            <w:tcBorders>
              <w:top w:val="single" w:sz="1" w:space="0" w:color="BBCFDF"/>
              <w:left w:val="single" w:sz="1" w:space="0" w:color="BBCFDF"/>
              <w:bottom w:val="single" w:sz="1" w:space="0" w:color="BBCFDF"/>
              <w:right w:val="single" w:sz="1" w:space="0" w:color="BBCFDF"/>
            </w:tcBorders>
            <w:shd w:val="clear" w:color="auto" w:fill="F5F9FC"/>
            <w:tcMar>
              <w:top w:w="80" w:type="dxa"/>
              <w:left w:w="120" w:type="dxa"/>
              <w:bottom w:w="80" w:type="dxa"/>
              <w:right w:w="120" w:type="dxa"/>
            </w:tcMar>
          </w:tcPr>
          <w:p w14:paraId="6EBD70B4" w14:textId="77777777" w:rsidR="001266D0" w:rsidRDefault="00000000">
            <w:r>
              <w:rPr>
                <w:sz w:val="20"/>
                <w:szCs w:val="20"/>
              </w:rPr>
              <w:t>S125</w:t>
            </w:r>
          </w:p>
        </w:tc>
        <w:tc>
          <w:tcPr>
            <w:tcW w:w="4160" w:type="dxa"/>
            <w:tcBorders>
              <w:top w:val="single" w:sz="1" w:space="0" w:color="BBCFDF"/>
              <w:left w:val="single" w:sz="1" w:space="0" w:color="BBCFDF"/>
              <w:bottom w:val="single" w:sz="1" w:space="0" w:color="BBCFDF"/>
              <w:right w:val="single" w:sz="1" w:space="0" w:color="BBCFDF"/>
            </w:tcBorders>
            <w:shd w:val="clear" w:color="auto" w:fill="F5F9FC"/>
            <w:tcMar>
              <w:top w:w="80" w:type="dxa"/>
              <w:left w:w="120" w:type="dxa"/>
              <w:bottom w:w="80" w:type="dxa"/>
              <w:right w:w="120" w:type="dxa"/>
            </w:tcMar>
          </w:tcPr>
          <w:p w14:paraId="74999549" w14:textId="77777777" w:rsidR="001266D0" w:rsidRDefault="00000000">
            <w:r>
              <w:rPr>
                <w:sz w:val="20"/>
                <w:szCs w:val="20"/>
              </w:rPr>
              <w:t>Commented-out code</w:t>
            </w:r>
          </w:p>
        </w:tc>
        <w:tc>
          <w:tcPr>
            <w:tcW w:w="3400" w:type="dxa"/>
            <w:tcBorders>
              <w:top w:val="single" w:sz="1" w:space="0" w:color="BBCFDF"/>
              <w:left w:val="single" w:sz="1" w:space="0" w:color="BBCFDF"/>
              <w:bottom w:val="single" w:sz="1" w:space="0" w:color="BBCFDF"/>
              <w:right w:val="single" w:sz="1" w:space="0" w:color="BBCFDF"/>
            </w:tcBorders>
            <w:shd w:val="clear" w:color="auto" w:fill="F5F9FC"/>
            <w:tcMar>
              <w:top w:w="80" w:type="dxa"/>
              <w:left w:w="120" w:type="dxa"/>
              <w:bottom w:w="80" w:type="dxa"/>
              <w:right w:w="120" w:type="dxa"/>
            </w:tcMar>
          </w:tcPr>
          <w:p w14:paraId="430100F0" w14:textId="77777777" w:rsidR="001266D0" w:rsidRDefault="00000000">
            <w:r>
              <w:rPr>
                <w:sz w:val="20"/>
                <w:szCs w:val="20"/>
              </w:rPr>
              <w:t xml:space="preserve">Fixed — </w:t>
            </w:r>
            <w:proofErr w:type="spellStart"/>
            <w:r>
              <w:rPr>
                <w:sz w:val="20"/>
                <w:szCs w:val="20"/>
              </w:rPr>
              <w:t>LoginCommandHandler</w:t>
            </w:r>
            <w:proofErr w:type="spellEnd"/>
          </w:p>
        </w:tc>
      </w:tr>
      <w:tr w:rsidR="001266D0" w14:paraId="60418599" w14:textId="77777777">
        <w:tblPrEx>
          <w:tblCellMar>
            <w:top w:w="0" w:type="dxa"/>
            <w:bottom w:w="0" w:type="dxa"/>
          </w:tblCellMar>
        </w:tblPrEx>
        <w:tc>
          <w:tcPr>
            <w:tcW w:w="18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142E447E" w14:textId="77777777" w:rsidR="001266D0" w:rsidRDefault="00000000">
            <w:r>
              <w:rPr>
                <w:sz w:val="20"/>
                <w:szCs w:val="20"/>
              </w:rPr>
              <w:t>S131</w:t>
            </w:r>
          </w:p>
        </w:tc>
        <w:tc>
          <w:tcPr>
            <w:tcW w:w="41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4E0658AF" w14:textId="77777777" w:rsidR="001266D0" w:rsidRDefault="00000000">
            <w:r>
              <w:rPr>
                <w:sz w:val="20"/>
                <w:szCs w:val="20"/>
              </w:rPr>
              <w:t>Switch missing default case</w:t>
            </w:r>
          </w:p>
        </w:tc>
        <w:tc>
          <w:tcPr>
            <w:tcW w:w="34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64851347" w14:textId="77777777" w:rsidR="001266D0" w:rsidRDefault="00000000">
            <w:r>
              <w:rPr>
                <w:sz w:val="20"/>
                <w:szCs w:val="20"/>
              </w:rPr>
              <w:t xml:space="preserve">Fixed — </w:t>
            </w:r>
            <w:proofErr w:type="spellStart"/>
            <w:r>
              <w:rPr>
                <w:sz w:val="20"/>
                <w:szCs w:val="20"/>
              </w:rPr>
              <w:t>ApplicationDbContext</w:t>
            </w:r>
            <w:proofErr w:type="spellEnd"/>
          </w:p>
        </w:tc>
      </w:tr>
      <w:tr w:rsidR="001266D0" w14:paraId="7EE6CF4F" w14:textId="77777777">
        <w:tblPrEx>
          <w:tblCellMar>
            <w:top w:w="0" w:type="dxa"/>
            <w:bottom w:w="0" w:type="dxa"/>
          </w:tblCellMar>
        </w:tblPrEx>
        <w:tc>
          <w:tcPr>
            <w:tcW w:w="1800" w:type="dxa"/>
            <w:tcBorders>
              <w:top w:val="single" w:sz="1" w:space="0" w:color="BBCFDF"/>
              <w:left w:val="single" w:sz="1" w:space="0" w:color="BBCFDF"/>
              <w:bottom w:val="single" w:sz="1" w:space="0" w:color="BBCFDF"/>
              <w:right w:val="single" w:sz="1" w:space="0" w:color="BBCFDF"/>
            </w:tcBorders>
            <w:shd w:val="clear" w:color="auto" w:fill="F5F9FC"/>
            <w:tcMar>
              <w:top w:w="80" w:type="dxa"/>
              <w:left w:w="120" w:type="dxa"/>
              <w:bottom w:w="80" w:type="dxa"/>
              <w:right w:w="120" w:type="dxa"/>
            </w:tcMar>
          </w:tcPr>
          <w:p w14:paraId="4CAF339F" w14:textId="77777777" w:rsidR="001266D0" w:rsidRDefault="00000000">
            <w:r>
              <w:rPr>
                <w:sz w:val="20"/>
                <w:szCs w:val="20"/>
              </w:rPr>
              <w:t>S6397 / IDE0150</w:t>
            </w:r>
          </w:p>
        </w:tc>
        <w:tc>
          <w:tcPr>
            <w:tcW w:w="4160" w:type="dxa"/>
            <w:tcBorders>
              <w:top w:val="single" w:sz="1" w:space="0" w:color="BBCFDF"/>
              <w:left w:val="single" w:sz="1" w:space="0" w:color="BBCFDF"/>
              <w:bottom w:val="single" w:sz="1" w:space="0" w:color="BBCFDF"/>
              <w:right w:val="single" w:sz="1" w:space="0" w:color="BBCFDF"/>
            </w:tcBorders>
            <w:shd w:val="clear" w:color="auto" w:fill="F5F9FC"/>
            <w:tcMar>
              <w:top w:w="80" w:type="dxa"/>
              <w:left w:w="120" w:type="dxa"/>
              <w:bottom w:w="80" w:type="dxa"/>
              <w:right w:w="120" w:type="dxa"/>
            </w:tcMar>
          </w:tcPr>
          <w:p w14:paraId="785C29F5" w14:textId="77777777" w:rsidR="001266D0" w:rsidRDefault="00000000">
            <w:r>
              <w:rPr>
                <w:sz w:val="20"/>
                <w:szCs w:val="20"/>
              </w:rPr>
              <w:t>Prefer is not null over != null</w:t>
            </w:r>
          </w:p>
        </w:tc>
        <w:tc>
          <w:tcPr>
            <w:tcW w:w="3400" w:type="dxa"/>
            <w:tcBorders>
              <w:top w:val="single" w:sz="1" w:space="0" w:color="BBCFDF"/>
              <w:left w:val="single" w:sz="1" w:space="0" w:color="BBCFDF"/>
              <w:bottom w:val="single" w:sz="1" w:space="0" w:color="BBCFDF"/>
              <w:right w:val="single" w:sz="1" w:space="0" w:color="BBCFDF"/>
            </w:tcBorders>
            <w:shd w:val="clear" w:color="auto" w:fill="F5F9FC"/>
            <w:tcMar>
              <w:top w:w="80" w:type="dxa"/>
              <w:left w:w="120" w:type="dxa"/>
              <w:bottom w:w="80" w:type="dxa"/>
              <w:right w:w="120" w:type="dxa"/>
            </w:tcMar>
          </w:tcPr>
          <w:p w14:paraId="02C29BFC" w14:textId="77777777" w:rsidR="001266D0" w:rsidRDefault="00000000">
            <w:r>
              <w:rPr>
                <w:sz w:val="20"/>
                <w:szCs w:val="20"/>
              </w:rPr>
              <w:t xml:space="preserve">Fixed — </w:t>
            </w:r>
            <w:proofErr w:type="spellStart"/>
            <w:r>
              <w:rPr>
                <w:sz w:val="20"/>
                <w:szCs w:val="20"/>
              </w:rPr>
              <w:t>LoginRepository</w:t>
            </w:r>
            <w:proofErr w:type="spellEnd"/>
          </w:p>
        </w:tc>
      </w:tr>
      <w:tr w:rsidR="001266D0" w14:paraId="4ACAFB8C" w14:textId="77777777">
        <w:tblPrEx>
          <w:tblCellMar>
            <w:top w:w="0" w:type="dxa"/>
            <w:bottom w:w="0" w:type="dxa"/>
          </w:tblCellMar>
        </w:tblPrEx>
        <w:tc>
          <w:tcPr>
            <w:tcW w:w="18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77AC15D0" w14:textId="77777777" w:rsidR="001266D0" w:rsidRDefault="00000000">
            <w:r>
              <w:rPr>
                <w:sz w:val="20"/>
                <w:szCs w:val="20"/>
              </w:rPr>
              <w:t>S4457</w:t>
            </w:r>
          </w:p>
        </w:tc>
        <w:tc>
          <w:tcPr>
            <w:tcW w:w="41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1FCDD71B" w14:textId="77777777" w:rsidR="001266D0" w:rsidRDefault="00000000">
            <w:r>
              <w:rPr>
                <w:sz w:val="20"/>
                <w:szCs w:val="20"/>
              </w:rPr>
              <w:t>Duplicate validation approaches</w:t>
            </w:r>
          </w:p>
        </w:tc>
        <w:tc>
          <w:tcPr>
            <w:tcW w:w="34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36C1FB1B" w14:textId="77777777" w:rsidR="001266D0" w:rsidRDefault="00000000">
            <w:r>
              <w:rPr>
                <w:sz w:val="20"/>
                <w:szCs w:val="20"/>
              </w:rPr>
              <w:t xml:space="preserve">Fixed — </w:t>
            </w:r>
            <w:proofErr w:type="spellStart"/>
            <w:r>
              <w:rPr>
                <w:sz w:val="20"/>
                <w:szCs w:val="20"/>
              </w:rPr>
              <w:t>LoginCommand</w:t>
            </w:r>
            <w:proofErr w:type="spellEnd"/>
          </w:p>
        </w:tc>
      </w:tr>
      <w:tr w:rsidR="001266D0" w14:paraId="30B51F9C" w14:textId="77777777">
        <w:tblPrEx>
          <w:tblCellMar>
            <w:top w:w="0" w:type="dxa"/>
            <w:bottom w:w="0" w:type="dxa"/>
          </w:tblCellMar>
        </w:tblPrEx>
        <w:tc>
          <w:tcPr>
            <w:tcW w:w="1800" w:type="dxa"/>
            <w:tcBorders>
              <w:top w:val="single" w:sz="1" w:space="0" w:color="BBCFDF"/>
              <w:left w:val="single" w:sz="1" w:space="0" w:color="BBCFDF"/>
              <w:bottom w:val="single" w:sz="1" w:space="0" w:color="BBCFDF"/>
              <w:right w:val="single" w:sz="1" w:space="0" w:color="BBCFDF"/>
            </w:tcBorders>
            <w:shd w:val="clear" w:color="auto" w:fill="F5F9FC"/>
            <w:tcMar>
              <w:top w:w="80" w:type="dxa"/>
              <w:left w:w="120" w:type="dxa"/>
              <w:bottom w:w="80" w:type="dxa"/>
              <w:right w:w="120" w:type="dxa"/>
            </w:tcMar>
          </w:tcPr>
          <w:p w14:paraId="6821014C" w14:textId="77777777" w:rsidR="001266D0" w:rsidRDefault="00000000">
            <w:r>
              <w:rPr>
                <w:sz w:val="20"/>
                <w:szCs w:val="20"/>
              </w:rPr>
              <w:t>CS8019</w:t>
            </w:r>
          </w:p>
        </w:tc>
        <w:tc>
          <w:tcPr>
            <w:tcW w:w="4160" w:type="dxa"/>
            <w:tcBorders>
              <w:top w:val="single" w:sz="1" w:space="0" w:color="BBCFDF"/>
              <w:left w:val="single" w:sz="1" w:space="0" w:color="BBCFDF"/>
              <w:bottom w:val="single" w:sz="1" w:space="0" w:color="BBCFDF"/>
              <w:right w:val="single" w:sz="1" w:space="0" w:color="BBCFDF"/>
            </w:tcBorders>
            <w:shd w:val="clear" w:color="auto" w:fill="F5F9FC"/>
            <w:tcMar>
              <w:top w:w="80" w:type="dxa"/>
              <w:left w:w="120" w:type="dxa"/>
              <w:bottom w:w="80" w:type="dxa"/>
              <w:right w:w="120" w:type="dxa"/>
            </w:tcMar>
          </w:tcPr>
          <w:p w14:paraId="553BBFD6" w14:textId="77777777" w:rsidR="001266D0" w:rsidRDefault="00000000">
            <w:r>
              <w:rPr>
                <w:sz w:val="20"/>
                <w:szCs w:val="20"/>
              </w:rPr>
              <w:t>Unused using directives</w:t>
            </w:r>
          </w:p>
        </w:tc>
        <w:tc>
          <w:tcPr>
            <w:tcW w:w="3400" w:type="dxa"/>
            <w:tcBorders>
              <w:top w:val="single" w:sz="1" w:space="0" w:color="BBCFDF"/>
              <w:left w:val="single" w:sz="1" w:space="0" w:color="BBCFDF"/>
              <w:bottom w:val="single" w:sz="1" w:space="0" w:color="BBCFDF"/>
              <w:right w:val="single" w:sz="1" w:space="0" w:color="BBCFDF"/>
            </w:tcBorders>
            <w:shd w:val="clear" w:color="auto" w:fill="F5F9FC"/>
            <w:tcMar>
              <w:top w:w="80" w:type="dxa"/>
              <w:left w:w="120" w:type="dxa"/>
              <w:bottom w:w="80" w:type="dxa"/>
              <w:right w:w="120" w:type="dxa"/>
            </w:tcMar>
          </w:tcPr>
          <w:p w14:paraId="703B5EEA" w14:textId="77777777" w:rsidR="001266D0" w:rsidRDefault="00000000">
            <w:r>
              <w:rPr>
                <w:sz w:val="20"/>
                <w:szCs w:val="20"/>
              </w:rPr>
              <w:t xml:space="preserve">Fixed — </w:t>
            </w:r>
            <w:proofErr w:type="spellStart"/>
            <w:r>
              <w:rPr>
                <w:sz w:val="20"/>
                <w:szCs w:val="20"/>
              </w:rPr>
              <w:t>ProfileMapper</w:t>
            </w:r>
            <w:proofErr w:type="spellEnd"/>
            <w:r>
              <w:rPr>
                <w:sz w:val="20"/>
                <w:szCs w:val="20"/>
              </w:rPr>
              <w:t xml:space="preserve">, </w:t>
            </w:r>
            <w:proofErr w:type="spellStart"/>
            <w:r>
              <w:rPr>
                <w:sz w:val="20"/>
                <w:szCs w:val="20"/>
              </w:rPr>
              <w:t>AuthService</w:t>
            </w:r>
            <w:proofErr w:type="spellEnd"/>
            <w:r>
              <w:rPr>
                <w:sz w:val="20"/>
                <w:szCs w:val="20"/>
              </w:rPr>
              <w:t xml:space="preserve">, </w:t>
            </w:r>
            <w:proofErr w:type="spellStart"/>
            <w:r>
              <w:rPr>
                <w:sz w:val="20"/>
                <w:szCs w:val="20"/>
              </w:rPr>
              <w:t>AuditableEntity</w:t>
            </w:r>
            <w:proofErr w:type="spellEnd"/>
          </w:p>
        </w:tc>
      </w:tr>
      <w:tr w:rsidR="001266D0" w14:paraId="37541AA0" w14:textId="77777777">
        <w:tblPrEx>
          <w:tblCellMar>
            <w:top w:w="0" w:type="dxa"/>
            <w:bottom w:w="0" w:type="dxa"/>
          </w:tblCellMar>
        </w:tblPrEx>
        <w:tc>
          <w:tcPr>
            <w:tcW w:w="18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2F8A6D07" w14:textId="77777777" w:rsidR="001266D0" w:rsidRDefault="00000000">
            <w:r>
              <w:rPr>
                <w:sz w:val="20"/>
                <w:szCs w:val="20"/>
              </w:rPr>
              <w:t>IDE0300</w:t>
            </w:r>
          </w:p>
        </w:tc>
        <w:tc>
          <w:tcPr>
            <w:tcW w:w="41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6C8578B6" w14:textId="77777777" w:rsidR="001266D0" w:rsidRDefault="00000000">
            <w:r>
              <w:rPr>
                <w:sz w:val="20"/>
                <w:szCs w:val="20"/>
              </w:rPr>
              <w:t>Use collection expression</w:t>
            </w:r>
          </w:p>
        </w:tc>
        <w:tc>
          <w:tcPr>
            <w:tcW w:w="34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5774CFC8" w14:textId="77777777" w:rsidR="001266D0" w:rsidRDefault="00000000">
            <w:r>
              <w:rPr>
                <w:sz w:val="20"/>
                <w:szCs w:val="20"/>
              </w:rPr>
              <w:t xml:space="preserve">Fixed — </w:t>
            </w:r>
            <w:proofErr w:type="spellStart"/>
            <w:r>
              <w:rPr>
                <w:sz w:val="20"/>
                <w:szCs w:val="20"/>
              </w:rPr>
              <w:t>LoginCommand</w:t>
            </w:r>
            <w:proofErr w:type="spellEnd"/>
          </w:p>
        </w:tc>
      </w:tr>
      <w:tr w:rsidR="001266D0" w14:paraId="3EB02270" w14:textId="77777777">
        <w:tblPrEx>
          <w:tblCellMar>
            <w:top w:w="0" w:type="dxa"/>
            <w:bottom w:w="0" w:type="dxa"/>
          </w:tblCellMar>
        </w:tblPrEx>
        <w:tc>
          <w:tcPr>
            <w:tcW w:w="1800" w:type="dxa"/>
            <w:tcBorders>
              <w:top w:val="single" w:sz="1" w:space="0" w:color="BBCFDF"/>
              <w:left w:val="single" w:sz="1" w:space="0" w:color="BBCFDF"/>
              <w:bottom w:val="single" w:sz="1" w:space="0" w:color="BBCFDF"/>
              <w:right w:val="single" w:sz="1" w:space="0" w:color="BBCFDF"/>
            </w:tcBorders>
            <w:shd w:val="clear" w:color="auto" w:fill="F5F9FC"/>
            <w:tcMar>
              <w:top w:w="80" w:type="dxa"/>
              <w:left w:w="120" w:type="dxa"/>
              <w:bottom w:w="80" w:type="dxa"/>
              <w:right w:w="120" w:type="dxa"/>
            </w:tcMar>
          </w:tcPr>
          <w:p w14:paraId="308E4657" w14:textId="77777777" w:rsidR="001266D0" w:rsidRDefault="00000000">
            <w:r>
              <w:rPr>
                <w:sz w:val="20"/>
                <w:szCs w:val="20"/>
              </w:rPr>
              <w:t>CA1062</w:t>
            </w:r>
          </w:p>
        </w:tc>
        <w:tc>
          <w:tcPr>
            <w:tcW w:w="4160" w:type="dxa"/>
            <w:tcBorders>
              <w:top w:val="single" w:sz="1" w:space="0" w:color="BBCFDF"/>
              <w:left w:val="single" w:sz="1" w:space="0" w:color="BBCFDF"/>
              <w:bottom w:val="single" w:sz="1" w:space="0" w:color="BBCFDF"/>
              <w:right w:val="single" w:sz="1" w:space="0" w:color="BBCFDF"/>
            </w:tcBorders>
            <w:shd w:val="clear" w:color="auto" w:fill="F5F9FC"/>
            <w:tcMar>
              <w:top w:w="80" w:type="dxa"/>
              <w:left w:w="120" w:type="dxa"/>
              <w:bottom w:w="80" w:type="dxa"/>
              <w:right w:w="120" w:type="dxa"/>
            </w:tcMar>
          </w:tcPr>
          <w:p w14:paraId="5D2D45C1" w14:textId="77777777" w:rsidR="001266D0" w:rsidRDefault="00000000">
            <w:r>
              <w:rPr>
                <w:sz w:val="20"/>
                <w:szCs w:val="20"/>
              </w:rPr>
              <w:t>Validate public parameters</w:t>
            </w:r>
          </w:p>
        </w:tc>
        <w:tc>
          <w:tcPr>
            <w:tcW w:w="3400" w:type="dxa"/>
            <w:tcBorders>
              <w:top w:val="single" w:sz="1" w:space="0" w:color="BBCFDF"/>
              <w:left w:val="single" w:sz="1" w:space="0" w:color="BBCFDF"/>
              <w:bottom w:val="single" w:sz="1" w:space="0" w:color="BBCFDF"/>
              <w:right w:val="single" w:sz="1" w:space="0" w:color="BBCFDF"/>
            </w:tcBorders>
            <w:shd w:val="clear" w:color="auto" w:fill="F5F9FC"/>
            <w:tcMar>
              <w:top w:w="80" w:type="dxa"/>
              <w:left w:w="120" w:type="dxa"/>
              <w:bottom w:w="80" w:type="dxa"/>
              <w:right w:w="120" w:type="dxa"/>
            </w:tcMar>
          </w:tcPr>
          <w:p w14:paraId="2CD9E843" w14:textId="77777777" w:rsidR="001266D0" w:rsidRDefault="00000000">
            <w:r>
              <w:rPr>
                <w:sz w:val="20"/>
                <w:szCs w:val="20"/>
              </w:rPr>
              <w:t xml:space="preserve">In place — </w:t>
            </w:r>
            <w:proofErr w:type="spellStart"/>
            <w:r>
              <w:rPr>
                <w:sz w:val="20"/>
                <w:szCs w:val="20"/>
              </w:rPr>
              <w:t>ArgumentNullException.ThrowIfNull</w:t>
            </w:r>
            <w:proofErr w:type="spellEnd"/>
            <w:r>
              <w:rPr>
                <w:sz w:val="20"/>
                <w:szCs w:val="20"/>
              </w:rPr>
              <w:t xml:space="preserve"> throughout</w:t>
            </w:r>
          </w:p>
        </w:tc>
      </w:tr>
      <w:tr w:rsidR="001266D0" w14:paraId="3F01846F" w14:textId="77777777">
        <w:tblPrEx>
          <w:tblCellMar>
            <w:top w:w="0" w:type="dxa"/>
            <w:bottom w:w="0" w:type="dxa"/>
          </w:tblCellMar>
        </w:tblPrEx>
        <w:tc>
          <w:tcPr>
            <w:tcW w:w="18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06260333" w14:textId="77777777" w:rsidR="001266D0" w:rsidRDefault="00000000">
            <w:r>
              <w:rPr>
                <w:sz w:val="20"/>
                <w:szCs w:val="20"/>
              </w:rPr>
              <w:t>CA2007</w:t>
            </w:r>
          </w:p>
        </w:tc>
        <w:tc>
          <w:tcPr>
            <w:tcW w:w="416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7B556D34" w14:textId="77777777" w:rsidR="001266D0" w:rsidRDefault="00000000">
            <w:proofErr w:type="spellStart"/>
            <w:r>
              <w:rPr>
                <w:sz w:val="20"/>
                <w:szCs w:val="20"/>
              </w:rPr>
              <w:t>ConfigureAwait</w:t>
            </w:r>
            <w:proofErr w:type="spellEnd"/>
            <w:r>
              <w:rPr>
                <w:sz w:val="20"/>
                <w:szCs w:val="20"/>
              </w:rPr>
              <w:t>(false)</w:t>
            </w:r>
          </w:p>
        </w:tc>
        <w:tc>
          <w:tcPr>
            <w:tcW w:w="3400" w:type="dxa"/>
            <w:tcBorders>
              <w:top w:val="single" w:sz="1" w:space="0" w:color="BBCFDF"/>
              <w:left w:val="single" w:sz="1" w:space="0" w:color="BBCFDF"/>
              <w:bottom w:val="single" w:sz="1" w:space="0" w:color="BBCFDF"/>
              <w:right w:val="single" w:sz="1" w:space="0" w:color="BBCFDF"/>
            </w:tcBorders>
            <w:shd w:val="clear" w:color="auto" w:fill="FFFFFF"/>
            <w:tcMar>
              <w:top w:w="80" w:type="dxa"/>
              <w:left w:w="120" w:type="dxa"/>
              <w:bottom w:w="80" w:type="dxa"/>
              <w:right w:w="120" w:type="dxa"/>
            </w:tcMar>
          </w:tcPr>
          <w:p w14:paraId="174B4E24" w14:textId="77777777" w:rsidR="001266D0" w:rsidRDefault="00000000">
            <w:r>
              <w:rPr>
                <w:sz w:val="20"/>
                <w:szCs w:val="20"/>
              </w:rPr>
              <w:t>In place — all async calls</w:t>
            </w:r>
          </w:p>
        </w:tc>
      </w:tr>
    </w:tbl>
    <w:p w14:paraId="3842697F" w14:textId="77777777" w:rsidR="001266D0" w:rsidRDefault="001266D0">
      <w:pPr>
        <w:spacing w:before="80" w:after="80"/>
      </w:pPr>
    </w:p>
    <w:p w14:paraId="66D5F870" w14:textId="77777777" w:rsidR="001266D0" w:rsidRDefault="00000000">
      <w:pPr>
        <w:pStyle w:val="Heading1"/>
        <w:pBdr>
          <w:bottom w:val="single" w:sz="4" w:space="6" w:color="2E75B6"/>
        </w:pBdr>
      </w:pPr>
      <w:r>
        <w:rPr>
          <w:color w:val="1F4E79"/>
        </w:rPr>
        <w:t>9. Caching &amp; Redis Usage</w:t>
      </w:r>
    </w:p>
    <w:p w14:paraId="39A8CF95" w14:textId="77777777" w:rsidR="001266D0" w:rsidRDefault="00000000">
      <w:pPr>
        <w:spacing w:before="180" w:after="60"/>
      </w:pPr>
      <w:r>
        <w:rPr>
          <w:b/>
          <w:bCs/>
          <w:i/>
          <w:iCs/>
          <w:color w:val="444444"/>
        </w:rPr>
        <w:t>Are we allowed to introduce Redis for caching or distributed locking?</w:t>
      </w:r>
    </w:p>
    <w:p w14:paraId="1C305A60" w14:textId="77777777" w:rsidR="001266D0" w:rsidRDefault="00000000">
      <w:pPr>
        <w:spacing w:before="40" w:after="100"/>
        <w:ind w:left="360"/>
      </w:pPr>
      <w:r>
        <w:rPr>
          <w:color w:val="222222"/>
        </w:rPr>
        <w:t xml:space="preserve">Redis can be introduced subject to infrastructure availability. It must be abstracted behind an </w:t>
      </w:r>
      <w:proofErr w:type="spellStart"/>
      <w:r>
        <w:rPr>
          <w:color w:val="222222"/>
        </w:rPr>
        <w:t>ICacheService</w:t>
      </w:r>
      <w:proofErr w:type="spellEnd"/>
      <w:r>
        <w:rPr>
          <w:color w:val="222222"/>
        </w:rPr>
        <w:t xml:space="preserve"> interface in the Domain or Application layer, with the concrete </w:t>
      </w:r>
      <w:proofErr w:type="spellStart"/>
      <w:r>
        <w:rPr>
          <w:color w:val="222222"/>
        </w:rPr>
        <w:t>StackExchange.Redis</w:t>
      </w:r>
      <w:proofErr w:type="spellEnd"/>
      <w:r>
        <w:rPr>
          <w:color w:val="222222"/>
        </w:rPr>
        <w:t xml:space="preserve"> implementation in Infrastructure. This ensures the codebase can fall back to </w:t>
      </w:r>
      <w:proofErr w:type="spellStart"/>
      <w:r>
        <w:rPr>
          <w:color w:val="222222"/>
        </w:rPr>
        <w:t>IMemoryCache</w:t>
      </w:r>
      <w:proofErr w:type="spellEnd"/>
      <w:r>
        <w:rPr>
          <w:color w:val="222222"/>
        </w:rPr>
        <w:t xml:space="preserve"> in development environments.</w:t>
      </w:r>
    </w:p>
    <w:p w14:paraId="0607E726" w14:textId="77777777" w:rsidR="001266D0" w:rsidRDefault="001266D0">
      <w:pPr>
        <w:spacing w:before="80" w:after="80"/>
      </w:pPr>
    </w:p>
    <w:p w14:paraId="783B6136" w14:textId="77777777" w:rsidR="001266D0" w:rsidRDefault="00000000">
      <w:pPr>
        <w:spacing w:before="180" w:after="60"/>
      </w:pPr>
      <w:r>
        <w:rPr>
          <w:b/>
          <w:bCs/>
          <w:i/>
          <w:iCs/>
          <w:color w:val="444444"/>
        </w:rPr>
        <w:t>Are there infrastructure constraints or an established cache invalidation strategy?</w:t>
      </w:r>
    </w:p>
    <w:p w14:paraId="190D4E9A" w14:textId="77777777" w:rsidR="001266D0" w:rsidRDefault="00000000">
      <w:pPr>
        <w:spacing w:before="40" w:after="100"/>
        <w:ind w:left="360"/>
      </w:pPr>
      <w:r>
        <w:rPr>
          <w:color w:val="222222"/>
        </w:rPr>
        <w:t xml:space="preserve">Cache keys must be </w:t>
      </w:r>
      <w:proofErr w:type="spellStart"/>
      <w:r>
        <w:rPr>
          <w:color w:val="222222"/>
        </w:rPr>
        <w:t>namespaced</w:t>
      </w:r>
      <w:proofErr w:type="spellEnd"/>
      <w:r>
        <w:rPr>
          <w:color w:val="222222"/>
        </w:rPr>
        <w:t xml:space="preserve"> per tenant to avoid collisions. Sensitive data (PII, health records) must not be stored unencrypted in compliance with POPIA. The </w:t>
      </w:r>
      <w:r>
        <w:rPr>
          <w:color w:val="222222"/>
        </w:rPr>
        <w:lastRenderedPageBreak/>
        <w:t xml:space="preserve">preferred invalidation pattern is time-based TTL as the default, with explicit eviction triggered by </w:t>
      </w:r>
      <w:proofErr w:type="spellStart"/>
      <w:r>
        <w:rPr>
          <w:color w:val="222222"/>
        </w:rPr>
        <w:t>MediatR</w:t>
      </w:r>
      <w:proofErr w:type="spellEnd"/>
      <w:r>
        <w:rPr>
          <w:color w:val="222222"/>
        </w:rPr>
        <w:t xml:space="preserve"> notification handlers or domain event handlers after write operations that affect cached data.</w:t>
      </w:r>
    </w:p>
    <w:p w14:paraId="2E8D38B2" w14:textId="77777777" w:rsidR="001266D0" w:rsidRDefault="001266D0">
      <w:pPr>
        <w:spacing w:before="80" w:after="80"/>
      </w:pPr>
    </w:p>
    <w:p w14:paraId="7AC4DAD4" w14:textId="77777777" w:rsidR="001266D0" w:rsidRDefault="00000000">
      <w:pPr>
        <w:pStyle w:val="Heading1"/>
        <w:pBdr>
          <w:bottom w:val="single" w:sz="4" w:space="6" w:color="2E75B6"/>
        </w:pBdr>
      </w:pPr>
      <w:r>
        <w:rPr>
          <w:color w:val="1F4E79"/>
        </w:rPr>
        <w:t>10. Requirements Documentation</w:t>
      </w:r>
    </w:p>
    <w:p w14:paraId="6D0BF2DF" w14:textId="77777777" w:rsidR="001266D0" w:rsidRDefault="00000000">
      <w:pPr>
        <w:spacing w:before="180" w:after="60"/>
      </w:pPr>
      <w:r>
        <w:rPr>
          <w:b/>
          <w:bCs/>
          <w:i/>
          <w:iCs/>
          <w:color w:val="444444"/>
        </w:rPr>
        <w:t>Is there a functional and non-functional requirements document available?</w:t>
      </w:r>
    </w:p>
    <w:p w14:paraId="7E713897" w14:textId="77777777" w:rsidR="001266D0" w:rsidRDefault="00000000">
      <w:pPr>
        <w:spacing w:before="40" w:after="100"/>
        <w:ind w:left="360"/>
      </w:pPr>
      <w:r>
        <w:rPr>
          <w:color w:val="222222"/>
        </w:rPr>
        <w:t>A formal FRD/NFR document is pending. In the interim, this document serves as the working architectural decision record. A request has been raised to formalise requirements before the next sprint.</w:t>
      </w:r>
    </w:p>
    <w:p w14:paraId="5894E221" w14:textId="77777777" w:rsidR="001266D0" w:rsidRDefault="001266D0">
      <w:pPr>
        <w:spacing w:before="80" w:after="80"/>
      </w:pPr>
    </w:p>
    <w:p w14:paraId="62B3EDC5" w14:textId="77777777" w:rsidR="001266D0" w:rsidRDefault="00000000">
      <w:pPr>
        <w:pStyle w:val="Heading1"/>
        <w:pBdr>
          <w:bottom w:val="single" w:sz="4" w:space="6" w:color="2E75B6"/>
        </w:pBdr>
      </w:pPr>
      <w:r>
        <w:rPr>
          <w:color w:val="1F4E79"/>
        </w:rPr>
        <w:t>11. Project Timelines &amp; Milestones</w:t>
      </w:r>
    </w:p>
    <w:p w14:paraId="2BB579FB" w14:textId="77777777" w:rsidR="001266D0" w:rsidRDefault="00000000">
      <w:pPr>
        <w:spacing w:before="180" w:after="60"/>
      </w:pPr>
      <w:r>
        <w:rPr>
          <w:b/>
          <w:bCs/>
          <w:i/>
          <w:iCs/>
          <w:color w:val="444444"/>
        </w:rPr>
        <w:t>Could we have access to updated timelines and milestone documentation?</w:t>
      </w:r>
    </w:p>
    <w:p w14:paraId="6C155CBC" w14:textId="77777777" w:rsidR="001266D0" w:rsidRDefault="00000000">
      <w:pPr>
        <w:spacing w:before="40" w:after="100"/>
        <w:ind w:left="360"/>
      </w:pPr>
      <w:r>
        <w:rPr>
          <w:color w:val="222222"/>
        </w:rPr>
        <w:t>Access to updated timelines has been requested from the delivery lead. The team requires sprint schedules, integration/UAT milestone dates, and the production go-live target to prioritise the backlog accordingly.</w:t>
      </w:r>
    </w:p>
    <w:p w14:paraId="0A938E3D" w14:textId="77777777" w:rsidR="001266D0" w:rsidRDefault="001266D0">
      <w:pPr>
        <w:spacing w:before="80" w:after="80"/>
      </w:pPr>
    </w:p>
    <w:p w14:paraId="59C46A0A" w14:textId="77777777" w:rsidR="001266D0" w:rsidRDefault="00000000">
      <w:pPr>
        <w:spacing w:before="180" w:after="60"/>
      </w:pPr>
      <w:r>
        <w:rPr>
          <w:b/>
          <w:bCs/>
          <w:i/>
          <w:iCs/>
          <w:color w:val="444444"/>
        </w:rPr>
        <w:t>What are the critical deadlines or contractual delivery commitments?</w:t>
      </w:r>
    </w:p>
    <w:p w14:paraId="5F24DE18" w14:textId="77777777" w:rsidR="001266D0" w:rsidRDefault="00000000">
      <w:pPr>
        <w:spacing w:before="40" w:after="100"/>
        <w:ind w:left="360"/>
      </w:pPr>
      <w:r>
        <w:rPr>
          <w:color w:val="222222"/>
        </w:rPr>
        <w:t>Critical deadlines and contractual commitments are to be confirmed by the project owner. The team will flag technical risks against committed deadlines as early as possible through the sprint review process.</w:t>
      </w:r>
    </w:p>
    <w:p w14:paraId="24691E1B" w14:textId="77777777" w:rsidR="001266D0" w:rsidRDefault="001266D0">
      <w:pPr>
        <w:spacing w:before="480" w:after="80"/>
      </w:pPr>
    </w:p>
    <w:p w14:paraId="6FB4AE0C" w14:textId="77777777" w:rsidR="001266D0" w:rsidRDefault="00000000">
      <w:pPr>
        <w:jc w:val="center"/>
      </w:pPr>
      <w:r>
        <w:rPr>
          <w:i/>
          <w:iCs/>
          <w:color w:val="AAAAAA"/>
          <w:sz w:val="20"/>
          <w:szCs w:val="20"/>
        </w:rPr>
        <w:t>— End of Document —</w:t>
      </w:r>
    </w:p>
    <w:sectPr w:rsidR="001266D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11BA6" w14:textId="77777777" w:rsidR="00861BD3" w:rsidRDefault="00861BD3">
      <w:r>
        <w:separator/>
      </w:r>
    </w:p>
  </w:endnote>
  <w:endnote w:type="continuationSeparator" w:id="0">
    <w:p w14:paraId="42436368" w14:textId="77777777" w:rsidR="00861BD3" w:rsidRDefault="00861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578ED" w14:textId="77777777" w:rsidR="001266D0" w:rsidRDefault="00000000">
    <w:pPr>
      <w:pBdr>
        <w:top w:val="single" w:sz="4" w:space="4" w:color="2E75B6"/>
      </w:pBdr>
      <w:spacing w:before="200"/>
      <w:jc w:val="right"/>
    </w:pPr>
    <w:r>
      <w:rPr>
        <w:color w:val="888888"/>
        <w:sz w:val="18"/>
        <w:szCs w:val="18"/>
      </w:rPr>
      <w:t xml:space="preserve">Confidential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841D4">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7841D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DBFC4" w14:textId="77777777" w:rsidR="00861BD3" w:rsidRDefault="00861BD3">
      <w:r>
        <w:separator/>
      </w:r>
    </w:p>
  </w:footnote>
  <w:footnote w:type="continuationSeparator" w:id="0">
    <w:p w14:paraId="105D238F" w14:textId="77777777" w:rsidR="00861BD3" w:rsidRDefault="00861B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C9DA8" w14:textId="277BDE42" w:rsidR="001266D0" w:rsidRDefault="00000000">
    <w:pPr>
      <w:pBdr>
        <w:bottom w:val="single" w:sz="4" w:space="4" w:color="2E75B6"/>
      </w:pBdr>
      <w:spacing w:after="200"/>
    </w:pPr>
    <w:r>
      <w:rPr>
        <w:color w:val="888888"/>
        <w:sz w:val="18"/>
        <w:szCs w:val="18"/>
      </w:rPr>
      <w:t xml:space="preserve">Technical &amp; Architectural Clarifications  |  Responses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B6DAB"/>
    <w:multiLevelType w:val="hybridMultilevel"/>
    <w:tmpl w:val="F9C24A40"/>
    <w:lvl w:ilvl="0" w:tplc="03DA06EC">
      <w:start w:val="1"/>
      <w:numFmt w:val="bullet"/>
      <w:lvlText w:val="●"/>
      <w:lvlJc w:val="left"/>
      <w:pPr>
        <w:ind w:left="720" w:hanging="360"/>
      </w:pPr>
    </w:lvl>
    <w:lvl w:ilvl="1" w:tplc="CEC27590">
      <w:start w:val="1"/>
      <w:numFmt w:val="bullet"/>
      <w:lvlText w:val="○"/>
      <w:lvlJc w:val="left"/>
      <w:pPr>
        <w:ind w:left="1440" w:hanging="360"/>
      </w:pPr>
    </w:lvl>
    <w:lvl w:ilvl="2" w:tplc="94445B56">
      <w:start w:val="1"/>
      <w:numFmt w:val="bullet"/>
      <w:lvlText w:val="■"/>
      <w:lvlJc w:val="left"/>
      <w:pPr>
        <w:ind w:left="2160" w:hanging="360"/>
      </w:pPr>
    </w:lvl>
    <w:lvl w:ilvl="3" w:tplc="7446FF8E">
      <w:start w:val="1"/>
      <w:numFmt w:val="bullet"/>
      <w:lvlText w:val="●"/>
      <w:lvlJc w:val="left"/>
      <w:pPr>
        <w:ind w:left="2880" w:hanging="360"/>
      </w:pPr>
    </w:lvl>
    <w:lvl w:ilvl="4" w:tplc="B198B046">
      <w:start w:val="1"/>
      <w:numFmt w:val="bullet"/>
      <w:lvlText w:val="○"/>
      <w:lvlJc w:val="left"/>
      <w:pPr>
        <w:ind w:left="3600" w:hanging="360"/>
      </w:pPr>
    </w:lvl>
    <w:lvl w:ilvl="5" w:tplc="117AF082">
      <w:start w:val="1"/>
      <w:numFmt w:val="bullet"/>
      <w:lvlText w:val="■"/>
      <w:lvlJc w:val="left"/>
      <w:pPr>
        <w:ind w:left="4320" w:hanging="360"/>
      </w:pPr>
    </w:lvl>
    <w:lvl w:ilvl="6" w:tplc="67B2B65E">
      <w:start w:val="1"/>
      <w:numFmt w:val="bullet"/>
      <w:lvlText w:val="●"/>
      <w:lvlJc w:val="left"/>
      <w:pPr>
        <w:ind w:left="5040" w:hanging="360"/>
      </w:pPr>
    </w:lvl>
    <w:lvl w:ilvl="7" w:tplc="C978B2EE">
      <w:start w:val="1"/>
      <w:numFmt w:val="bullet"/>
      <w:lvlText w:val="●"/>
      <w:lvlJc w:val="left"/>
      <w:pPr>
        <w:ind w:left="5760" w:hanging="360"/>
      </w:pPr>
    </w:lvl>
    <w:lvl w:ilvl="8" w:tplc="FE9081A0">
      <w:start w:val="1"/>
      <w:numFmt w:val="bullet"/>
      <w:lvlText w:val="●"/>
      <w:lvlJc w:val="left"/>
      <w:pPr>
        <w:ind w:left="6480" w:hanging="360"/>
      </w:pPr>
    </w:lvl>
  </w:abstractNum>
  <w:abstractNum w:abstractNumId="1" w15:restartNumberingAfterBreak="0">
    <w:nsid w:val="22414B30"/>
    <w:multiLevelType w:val="hybridMultilevel"/>
    <w:tmpl w:val="74B26348"/>
    <w:lvl w:ilvl="0" w:tplc="26945CF6">
      <w:start w:val="1"/>
      <w:numFmt w:val="decimal"/>
      <w:lvlText w:val="%1."/>
      <w:lvlJc w:val="left"/>
      <w:pPr>
        <w:ind w:left="720" w:hanging="360"/>
      </w:pPr>
    </w:lvl>
    <w:lvl w:ilvl="1" w:tplc="D8D27412">
      <w:numFmt w:val="decimal"/>
      <w:lvlText w:val=""/>
      <w:lvlJc w:val="left"/>
    </w:lvl>
    <w:lvl w:ilvl="2" w:tplc="6EFC1C18">
      <w:numFmt w:val="decimal"/>
      <w:lvlText w:val=""/>
      <w:lvlJc w:val="left"/>
    </w:lvl>
    <w:lvl w:ilvl="3" w:tplc="4A24A4C6">
      <w:numFmt w:val="decimal"/>
      <w:lvlText w:val=""/>
      <w:lvlJc w:val="left"/>
    </w:lvl>
    <w:lvl w:ilvl="4" w:tplc="AB182384">
      <w:numFmt w:val="decimal"/>
      <w:lvlText w:val=""/>
      <w:lvlJc w:val="left"/>
    </w:lvl>
    <w:lvl w:ilvl="5" w:tplc="C3FE6158">
      <w:numFmt w:val="decimal"/>
      <w:lvlText w:val=""/>
      <w:lvlJc w:val="left"/>
    </w:lvl>
    <w:lvl w:ilvl="6" w:tplc="C7F24B30">
      <w:numFmt w:val="decimal"/>
      <w:lvlText w:val=""/>
      <w:lvlJc w:val="left"/>
    </w:lvl>
    <w:lvl w:ilvl="7" w:tplc="FE800BB0">
      <w:numFmt w:val="decimal"/>
      <w:lvlText w:val=""/>
      <w:lvlJc w:val="left"/>
    </w:lvl>
    <w:lvl w:ilvl="8" w:tplc="B75E3C0A">
      <w:numFmt w:val="decimal"/>
      <w:lvlText w:val=""/>
      <w:lvlJc w:val="left"/>
    </w:lvl>
  </w:abstractNum>
  <w:abstractNum w:abstractNumId="2" w15:restartNumberingAfterBreak="0">
    <w:nsid w:val="49840CEE"/>
    <w:multiLevelType w:val="hybridMultilevel"/>
    <w:tmpl w:val="6598D4C8"/>
    <w:lvl w:ilvl="0" w:tplc="99CE1AB0">
      <w:start w:val="1"/>
      <w:numFmt w:val="bullet"/>
      <w:lvlText w:val="◦"/>
      <w:lvlJc w:val="left"/>
      <w:pPr>
        <w:ind w:left="1080" w:hanging="360"/>
      </w:pPr>
    </w:lvl>
    <w:lvl w:ilvl="1" w:tplc="5A5E5A08">
      <w:numFmt w:val="decimal"/>
      <w:lvlText w:val=""/>
      <w:lvlJc w:val="left"/>
    </w:lvl>
    <w:lvl w:ilvl="2" w:tplc="4BAEEA1C">
      <w:numFmt w:val="decimal"/>
      <w:lvlText w:val=""/>
      <w:lvlJc w:val="left"/>
    </w:lvl>
    <w:lvl w:ilvl="3" w:tplc="F730B6DC">
      <w:numFmt w:val="decimal"/>
      <w:lvlText w:val=""/>
      <w:lvlJc w:val="left"/>
    </w:lvl>
    <w:lvl w:ilvl="4" w:tplc="C8A26178">
      <w:numFmt w:val="decimal"/>
      <w:lvlText w:val=""/>
      <w:lvlJc w:val="left"/>
    </w:lvl>
    <w:lvl w:ilvl="5" w:tplc="C51671D0">
      <w:numFmt w:val="decimal"/>
      <w:lvlText w:val=""/>
      <w:lvlJc w:val="left"/>
    </w:lvl>
    <w:lvl w:ilvl="6" w:tplc="A282F338">
      <w:numFmt w:val="decimal"/>
      <w:lvlText w:val=""/>
      <w:lvlJc w:val="left"/>
    </w:lvl>
    <w:lvl w:ilvl="7" w:tplc="59F22E40">
      <w:numFmt w:val="decimal"/>
      <w:lvlText w:val=""/>
      <w:lvlJc w:val="left"/>
    </w:lvl>
    <w:lvl w:ilvl="8" w:tplc="A754D16A">
      <w:numFmt w:val="decimal"/>
      <w:lvlText w:val=""/>
      <w:lvlJc w:val="left"/>
    </w:lvl>
  </w:abstractNum>
  <w:abstractNum w:abstractNumId="3" w15:restartNumberingAfterBreak="0">
    <w:nsid w:val="75952EDA"/>
    <w:multiLevelType w:val="hybridMultilevel"/>
    <w:tmpl w:val="2662E0B4"/>
    <w:lvl w:ilvl="0" w:tplc="E42E6988">
      <w:start w:val="1"/>
      <w:numFmt w:val="bullet"/>
      <w:lvlText w:val="•"/>
      <w:lvlJc w:val="left"/>
      <w:pPr>
        <w:ind w:left="720" w:hanging="360"/>
      </w:pPr>
    </w:lvl>
    <w:lvl w:ilvl="1" w:tplc="FAE4A7F2">
      <w:numFmt w:val="decimal"/>
      <w:lvlText w:val=""/>
      <w:lvlJc w:val="left"/>
    </w:lvl>
    <w:lvl w:ilvl="2" w:tplc="577CAAC6">
      <w:numFmt w:val="decimal"/>
      <w:lvlText w:val=""/>
      <w:lvlJc w:val="left"/>
    </w:lvl>
    <w:lvl w:ilvl="3" w:tplc="21CAB33E">
      <w:numFmt w:val="decimal"/>
      <w:lvlText w:val=""/>
      <w:lvlJc w:val="left"/>
    </w:lvl>
    <w:lvl w:ilvl="4" w:tplc="E340A1A0">
      <w:numFmt w:val="decimal"/>
      <w:lvlText w:val=""/>
      <w:lvlJc w:val="left"/>
    </w:lvl>
    <w:lvl w:ilvl="5" w:tplc="FD1E26CA">
      <w:numFmt w:val="decimal"/>
      <w:lvlText w:val=""/>
      <w:lvlJc w:val="left"/>
    </w:lvl>
    <w:lvl w:ilvl="6" w:tplc="96C6D6C2">
      <w:numFmt w:val="decimal"/>
      <w:lvlText w:val=""/>
      <w:lvlJc w:val="left"/>
    </w:lvl>
    <w:lvl w:ilvl="7" w:tplc="86B695F8">
      <w:numFmt w:val="decimal"/>
      <w:lvlText w:val=""/>
      <w:lvlJc w:val="left"/>
    </w:lvl>
    <w:lvl w:ilvl="8" w:tplc="C5782E10">
      <w:numFmt w:val="decimal"/>
      <w:lvlText w:val=""/>
      <w:lvlJc w:val="left"/>
    </w:lvl>
  </w:abstractNum>
  <w:num w:numId="1" w16cid:durableId="1918251146">
    <w:abstractNumId w:val="0"/>
    <w:lvlOverride w:ilvl="0">
      <w:startOverride w:val="1"/>
    </w:lvlOverride>
  </w:num>
  <w:num w:numId="2" w16cid:durableId="42869563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6D0"/>
    <w:rsid w:val="001266D0"/>
    <w:rsid w:val="006269F0"/>
    <w:rsid w:val="007841D4"/>
    <w:rsid w:val="00861BD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91227"/>
  <w15:docId w15:val="{C6627E2E-C28C-47C0-A6DF-C46BE0773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841D4"/>
    <w:pPr>
      <w:tabs>
        <w:tab w:val="center" w:pos="4513"/>
        <w:tab w:val="right" w:pos="9026"/>
      </w:tabs>
    </w:pPr>
  </w:style>
  <w:style w:type="character" w:customStyle="1" w:styleId="HeaderChar">
    <w:name w:val="Header Char"/>
    <w:basedOn w:val="DefaultParagraphFont"/>
    <w:link w:val="Header"/>
    <w:uiPriority w:val="99"/>
    <w:rsid w:val="007841D4"/>
  </w:style>
  <w:style w:type="paragraph" w:styleId="Footer">
    <w:name w:val="footer"/>
    <w:basedOn w:val="Normal"/>
    <w:link w:val="FooterChar"/>
    <w:uiPriority w:val="99"/>
    <w:unhideWhenUsed/>
    <w:rsid w:val="007841D4"/>
    <w:pPr>
      <w:tabs>
        <w:tab w:val="center" w:pos="4513"/>
        <w:tab w:val="right" w:pos="9026"/>
      </w:tabs>
    </w:pPr>
  </w:style>
  <w:style w:type="character" w:customStyle="1" w:styleId="FooterChar">
    <w:name w:val="Footer Char"/>
    <w:basedOn w:val="DefaultParagraphFont"/>
    <w:link w:val="Footer"/>
    <w:uiPriority w:val="99"/>
    <w:rsid w:val="007841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1908</Words>
  <Characters>10878</Characters>
  <Application>Microsoft Office Word</Application>
  <DocSecurity>0</DocSecurity>
  <Lines>90</Lines>
  <Paragraphs>25</Paragraphs>
  <ScaleCrop>false</ScaleCrop>
  <Company/>
  <LinksUpToDate>false</LinksUpToDate>
  <CharactersWithSpaces>12761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Kolisa Mjobo</cp:lastModifiedBy>
  <cp:revision>2</cp:revision>
  <dcterms:created xsi:type="dcterms:W3CDTF">2026-02-20T17:13:00Z</dcterms:created>
  <dcterms:modified xsi:type="dcterms:W3CDTF">2026-02-21T16:21:00Z</dcterms:modified>
</cp:coreProperties>
</file>