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400" w:lineRule="exact"/>
      </w:pPr>
      <w:r>
        <w:rPr>
          <w:rFonts w:ascii="Arial" w:cs="Arial" w:eastAsia="Arial" w:hAnsi="Arial"/>
          <w:b/>
          <w:bCs/>
          <w:color w:val="0B0D0F"/>
          <w:spacing w:val="-6"/>
          <w:sz w:val="40"/>
          <w:szCs w:val="40"/>
        </w:rPr>
        <w:t xml:space="preserve">Sachin Koli</w:t>
      </w:r>
    </w:p>
    <w:p>
      <w:pPr>
        <w:spacing w:after="120" w:before="0" w:line="294" w:lineRule="exact"/>
      </w:pPr>
      <w:r>
        <w:rPr>
          <w:rFonts w:ascii="Arial" w:cs="Arial" w:eastAsia="Arial" w:hAnsi="Arial"/>
          <w:b/>
          <w:bCs/>
          <w:color w:val="0B5C4D"/>
          <w:sz w:val="21"/>
          <w:szCs w:val="21"/>
        </w:rPr>
        <w:t xml:space="preserve">LinkedIn — paste sheet</w:t>
      </w:r>
    </w:p>
    <w:p>
      <w:pPr>
        <w:pBdr>
          <w:left w:val="single" w:color="C98A12" w:sz="20" w:space="5"/>
        </w:pBdr>
        <w:shd w:fill="FDF6E6" w:color="auto" w:val="clear"/>
        <w:spacing w:after="180" w:before="0" w:line="241" w:lineRule="exact"/>
        <w:ind w:left="180" w:right="180"/>
      </w:pPr>
      <w:r>
        <w:rPr>
          <w:rFonts w:ascii="Arial" w:cs="Arial" w:eastAsia="Arial" w:hAnsi="Arial"/>
          <w:b/>
          <w:bCs/>
          <w:color w:val="4A3208"/>
          <w:sz w:val="17"/>
          <w:szCs w:val="17"/>
        </w:rPr>
        <w:t xml:space="preserve">Not a document to send.</w:t>
      </w:r>
      <w:r>
        <w:rPr>
          <w:rFonts w:ascii="Arial" w:cs="Arial" w:eastAsia="Arial" w:hAnsi="Arial"/>
          <w:color w:val="6B4A12"/>
          <w:sz w:val="17"/>
          <w:szCs w:val="17"/>
        </w:rPr>
        <w:t xml:space="preserve"> Every block below goes into a field on linkedin.com. </w:t>
      </w:r>
      <w:r>
        <w:rPr>
          <w:rFonts w:ascii="Arial" w:cs="Arial" w:eastAsia="Arial" w:hAnsi="Arial"/>
          <w:b/>
          <w:bCs/>
          <w:color w:val="4A3208"/>
          <w:sz w:val="17"/>
          <w:szCs w:val="17"/>
        </w:rPr>
        <w:t xml:space="preserve">No client is named here, and none may be added</w:t>
      </w:r>
      <w:r>
        <w:rPr>
          <w:rFonts w:ascii="Arial" w:cs="Arial" w:eastAsia="Arial" w:hAnsi="Arial"/>
          <w:color w:val="6B4A12"/>
          <w:sz w:val="17"/>
          <w:szCs w:val="17"/>
        </w:rPr>
        <w:t xml:space="preserve"> — every one of them came through a services contract, and this profile is public. "A UK tier-1 retail bank" carries the same weight to anyone hiring; the logo only carries risk. Client names belong in the recruiter resume, which goes to one addressed person at a time.</w:t>
      </w:r>
    </w:p>
    <w:p>
      <w:pPr>
        <w:spacing w:after="0" w:before="0" w:line="235" w:lineRule="exact"/>
      </w:pP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Settled 2026-09-03 — do not re-litigate this while editing.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Three reasons the rule holds, in order of weight. 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(1) The trade is bad.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"UK tier-1 retail bank" plus card journeys plus GCP narrows it to about five institutions for anyone in that market — the scale already signals, so the logo adds almost nothing while carrying real cost. 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(2) The risk is asymmetric in time.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He is still on the engagement. The same line is unremarkable two years after he leaves, so there is no reason to pay now for a benefit available later for free. 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(3) The realistic downside is not legal.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The binding restriction usually sits in the supplier's master agreement with the client, not in his own contract; what actually happens is a vendor-management or account conversation landing on him while he still works there.</w:t>
      </w:r>
    </w:p>
    <w:p>
      <w:pPr>
        <w:spacing w:after="0" w:before="60" w:line="235" w:lineRule="exact"/>
      </w:pP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Yes, the awards partly de-anonymise the client — and the position still holds.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Award winners are published, so "Banking Tech Awards 2024" plus "a UK tier-1 retail bank" can be resolved in one search. Keep both anyway: </w:t>
      </w: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he is responsible for what he publishes, not for what a reader deduces.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The awards are public information he is entitled to associate himself with, and he has disclosed no client relationship. That distinction is the one a policy review would actually draw, and it holds.</w:t>
      </w:r>
    </w:p>
    <w:p>
      <w:pPr>
        <w:spacing w:after="0" w:before="60" w:line="235" w:lineRule="exact"/>
      </w:pP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His employment terms are not on record.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Nothing in this repo states what his TCS contract says about naming clients — the offer, appointment and experience letters sit in Dropbox 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/Cloud Documents/Sachin/Career/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and have never been read in. The reasoning above is about the </w:t>
      </w:r>
      <w:r>
        <w:rPr>
          <w:rFonts w:ascii="Arial" w:cs="Arial" w:eastAsia="Arial" w:hAnsi="Arial"/>
          <w:i/>
          <w:iCs/>
          <w:color w:val="5A646C"/>
          <w:sz w:val="17"/>
          <w:szCs w:val="17"/>
        </w:rPr>
        <w:t xml:space="preserve">shape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of the risk, not a reading of his paperwork. If those letters ever land in the repo, revisit this note and replace inference with terms.</w:t>
      </w:r>
    </w:p>
    <w:p>
      <w:pPr>
        <w:keepNext/>
        <w:pBdr>
          <w:bottom w:val="single" w:color="0B5C4D" w:sz="6" w:space="2"/>
        </w:pBdr>
        <w:spacing w:after="60" w:before="24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HEADLINE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Headline ·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204 of 220 characters</w:t>
      </w: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 · the highest-leverage field on the profile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Solution Architect — Cloud Data &amp; AI Platforms | GCP Certified Professional Data Engineer | Kafka, BigQuery, dbt, Airflow, Terraform | Award-winning fraud journey (Banking Tech 2024, Card &amp; Payments 2025)</w:t>
      </w:r>
    </w:p>
    <w:p>
      <w:pPr>
        <w:spacing w:after="0" w:before="0" w:line="235" w:lineRule="exact"/>
      </w:pPr>
      <w:r>
        <w:rPr>
          <w:rFonts w:ascii="Arial" w:cs="Arial" w:eastAsia="Arial" w:hAnsi="Arial"/>
          <w:color w:val="5A646C"/>
          <w:sz w:val="17"/>
          <w:szCs w:val="17"/>
        </w:rPr>
        <w:t xml:space="preserve">Order is deliberate: </w:t>
      </w: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Data &amp; AI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first because both halves are earned; the </w:t>
      </w: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certification second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because it is searchable and recruiters filter on it; the named stack third because those are the exact tokens they search; the awards last, because proof works best after a claim.</w:t>
      </w:r>
    </w:p>
    <w:p>
      <w:pPr>
        <w:keepNext/>
        <w:pBdr>
          <w:bottom w:val="single" w:color="0B5C4D" w:sz="6" w:space="2"/>
        </w:pBdr>
        <w:spacing w:after="60" w:before="24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LOCATION AND OPEN TO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Location, and the Open to work banner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Pune, Maharashtra, India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Open to work — recruiters only. Titles: Solution Architect · Data Architect · Cloud Architect · Principal Data Engineer · Platform Architect Locations: Pune · Bengaluru · Hyderabad · Remote (India)</w:t>
      </w:r>
    </w:p>
    <w:p>
      <w:pPr>
        <w:keepNext/>
        <w:pBdr>
          <w:bottom w:val="single" w:color="0B5C4D" w:sz="6" w:space="2"/>
        </w:pBdr>
        <w:spacing w:after="60" w:before="16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ABOUT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About ·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1,959 of 2,600 characters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I build the data platforms large enterprises run on, and I ship the applied-AI tooling that sits on top of them. Google Cloud Certified Professional Data Engineer.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Right now I architect the batch and real-time streaming platform for a UK tier-1 retail bank, and the move of its enterprise data warehouse onto a cloud-native one: event-driven ingestion on Confluent Kafka and Pub/Sub, a shared ingestion service on Kubernetes, orchestration across Cloud Composer and a legacy enterprise scheduler, modelling in BigQuery and dbt, all of it provisioned through Terraform and CI/CD. The interesting part is not any single tool — it is making a modern cloud stack and a twenty-year-old on-premise estate agree with each other, reliably, every night, and writing the decisions down so the next team can see why.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Before the data platform I spent four years on cards and payments at the same bank: first putting its card brands into the mobile wallets and scheme click-to-pay, then migrating the whole card-journey estate onto cloud microservices behind an API gateway. The self-serve fraud journey I architected won at the Banking Tech Awards 2024 and the Card &amp; Payments Awards 2025 — it took fraud reporting out of the call-centre queue and gave it to the customer.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Earlier: twelve years of enterprise data across retail, telecom and banking. A Teradata-to-BigQuery lake migration. A customer preference API on GCP serving millions of people that took $600,000 a year out of running cost. Warehouses unifying a global bank's data across several African markets.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I also ship applied AI in the open. hoocode is a deterministic terminal coding agent I publish to npm — a permission gate on every edit, four scoped modes, and a unified API across 25+ LLM providers. Underneath it sits Rust I wrote: an embedding search engine with ONNX inference, an HNSW index built from scratch and BM25 fusion for hybrid retrieval; offline speech-to-text; token-efficient web retrieval for agents. The platforms I design are exactly the substrate retrieval and ML workloads need, and I would rather build that layer than hand it over.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Open to Solution Architect, Data Architect and Cloud Architect roles — especially where the data platform is the product.</w:t>
      </w:r>
    </w:p>
    <w:p>
      <w:pPr>
        <w:keepNext/>
        <w:pBdr>
          <w:bottom w:val="single" w:color="0B5C4D" w:sz="6" w:space="2"/>
        </w:pBdr>
        <w:spacing w:after="60" w:before="16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EXPERIENCE ENTRIES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Experience · one block per role, pasted into the description field</w:t>
      </w:r>
    </w:p>
    <w:p>
      <w:pPr>
        <w:keepNext/>
        <w:spacing w:after="20" w:before="10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Tata Consultancy Services — Solution Architect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Sep 2021 – Present · Pune, India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Data platform and cards &amp; payments architecture for a UK tier-1 retail bank — five years, three platforms.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Data Platform &amp; Real-Time Analytics (Jul 2025 – present)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Architected the migration of an enterprise data warehouse onto a cloud-native data platform, covering ingestion, curation and consumption.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Authored the shared batch ingestion service design — Kubernetes-hosted ingestion, object-storage landing zones, BigQuery targets, Cloud Composer orchestration and CI — adopted as the standard onboarding pattern for source systems.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Engineered high-availability event-driven ingestion on Confluent Kafka and Pub/Sub with Python for low-latency data delivery.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Architected hybrid batch orchestration across Cloud Composer (Apache Airflow) and a legacy enterprise scheduler, managing dependency graphs spanning on-premise and cloud.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Designed BigQuery warehouse schemas and modular dbt transformation pipelines with delta-load audit tables, enforced data quality and end-to-end lineage.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Authored the architecture decision baseline for a behavioural data-product layer on BigQuery — nested schema modelling, partitioning and clustering strategy, and an identifier strategy that achieved exact parity with the incumbent analytics dashboards while removing sessionization compute.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Standardised infrastructure with Terraform — Composer environments, BigQuery datasets, IAM — integrated into CI/CD to cut configuration drift and deployment time.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Designed platform FinOps controls: rightsizing, autoscaling, storage tiering and lifecycle policy.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Card Platform Modernisation on Cloud (2024 – Jul 2025)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Owned the solution design migrating an entire card-journey estate — controls, limits, freeze, wallet provisioning, view card and PIN — from on-premise to cloud microservices behind an API gateway, sequenced across three release tranches.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Authored and secured approval for the identity and authentication onboarding pattern adopted across the estate, from a ten-criteria options analysis.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Designed shared scheme-connectivity microservices reused across feature teams on a common certificate-management pattern.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Digital Wallets, Click to Pay &amp; Card Controls (2021 – 2024)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Architected a self-serve fraud journey recognised at the Banking Tech Awards 2024 and the Card &amp; Payments Awards 2025.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Authored the solution designs enabling four card brands in the major mobile wallets and in scheme click-to-pay, covering push provisioning, card registration and scheme token handling.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Designed payment-token security to PCI standards — token generation, PGP key exchange with the wallet provider, and HSM-backed key storage.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Kafka · BigQuery · dbt · Airflow · Terraform · Kubernetes · GCP · microservices · payments</w:t>
      </w:r>
    </w:p>
    <w:p>
      <w:pPr>
        <w:keepNext/>
        <w:spacing w:after="20" w:before="8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Sears IT and Management Services India — Architect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Joined as Technical Specialist · Feb 2018 – Sep 2021 · Pune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Cloud data platform and marketing technology for a US Fortune-500 retailer.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Built a customer email preference API on GCP App Engine, Pub/Sub, DataFlow and BigQuery serving millions of customers — reduced annual cost by $600,000.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Migrated enterprise DataMarts from Teradata to BigQuery on schedule.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Built an API management layer decoupling applications from cloud complexity across a multicloud estate — reused as the blueprint by other teams.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Replaced self-hosted tooling with cloud-native across five stacks: Teradata to BigQuery, Unix to Compute Engine, Control-M to Airflow, shell to Python, GitLab Enterprise to Cloud Source Repositories.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Led enterprise marketing-platform migration from IBM Unica to Adobe Campaign, coordinating external vendors and internal engineering.</w:t>
      </w:r>
    </w:p>
    <w:p>
      <w:pPr>
        <w:keepNext/>
        <w:spacing w:after="20" w:before="8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Cognizant Technology Solutions — Senior Associate, Projects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Nov 2010 – Feb 2018 · Pune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Enterprise data warehousing for a Gulf national telecom operator (onsite delivery lead, 2015–2018) and a global bank's emerging markets (2010–2015).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Led data modelling for a national telecom enterprise data warehouse spanning customers, accounts, subscriptions, offers and products.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Built an automation tool propagating schema changes through every Teradata utility script and Ab-Initio object automatically, removing a large manual change surface.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Ran a big-data POC on Apache Hive and HDFS for call-detail-record ingestion.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Unified banking data across multiple African countries into a single source of truth, letting one DataMart span new countries without rework.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Designed logical and physical data models; built reusable code-generation, deployment and scheduling automation for the team.</w:t>
      </w:r>
    </w:p>
    <w:p>
      <w:pPr>
        <w:keepNext/>
        <w:spacing w:after="20" w:before="8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Mahindra Satyam — Software Developer, S2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Jan 2008 – Nov 2010 · Hyderabad / Bangalore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ETL and data warehousing for an Australian telecom operator.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Developed DataStage jobs, Teradata utility scripts and Perl/Unix tooling for a retail customer warehouse handling registrations, demographics, segmentation and billed and unbilled call records.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• Built Informatica mappings and workflows migrating Oracle data to Teradata.</w:t>
      </w:r>
    </w:p>
    <w:p>
      <w:pPr>
        <w:keepNext/>
        <w:pBdr>
          <w:bottom w:val="single" w:color="0B5C4D" w:sz="6" w:space="2"/>
        </w:pBdr>
        <w:spacing w:after="60" w:before="16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PROJECTS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Projects ·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currently empty, and the biggest gap on the page</w:t>
      </w: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 · add the repo link to each, and pin the same four as Featured</w:t>
      </w:r>
    </w:p>
    <w:p>
      <w:pPr>
        <w:keepNext/>
        <w:spacing w:after="20" w:before="10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hoocode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github.com/kolisachint/hoocode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Deterministic terminal coding agent, published to npm. A permission gate on every edit and shell command, four scoped modes, MCP servers and subagents. Four packages including a unified LLM API across 25+ providers and a TUI library with differential rendering. TypeScript.</w:t>
      </w:r>
    </w:p>
    <w:p>
      <w:pPr>
        <w:keepNext/>
        <w:spacing w:after="20" w:before="8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embeddingsearchtools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github.com/kolisachint/embeddingsearchtools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Embedding search engine in Rust. MiniLM via ONNX Runtime with int8 weights bundled into the binary; exact and HNSW approximate-nearest-neighbour indexes written from scratch; BM25 lexical fusion for hybrid retrieval; library API, CLI and long-lived daemon.</w:t>
      </w:r>
    </w:p>
    <w:p>
      <w:pPr>
        <w:keepNext/>
        <w:spacing w:after="20" w:before="8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voicetools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github.com/kolisachint/voicetools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Offline speech-to-text for the terminal, in Rust. Microphone capture through voice-activity detection into Parakeet-TDT on ONNX Runtime, 25 languages, with a whisper.cpp fallback.</w:t>
      </w:r>
    </w:p>
    <w:p>
      <w:pPr>
        <w:keepNext/>
        <w:spacing w:after="20" w:before="80" w:line="269" w:lineRule="exact"/>
      </w:pPr>
      <w:r>
        <w:rPr>
          <w:rFonts w:ascii="Arial" w:cs="Arial" w:eastAsia="Arial" w:hAnsi="Arial"/>
          <w:b/>
          <w:bCs/>
          <w:color w:val="0B0D0F"/>
          <w:sz w:val="19"/>
          <w:szCs w:val="19"/>
        </w:rPr>
        <w:t xml:space="preserve">webtools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github.com/kolisachint/webtools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Token-efficient web fetch and search for LLM agents, in Rust. Reference-style URL preservation collapses links to single-token markers under a total token budget.</w:t>
      </w:r>
    </w:p>
    <w:p>
      <w:pPr>
        <w:keepNext/>
        <w:pBdr>
          <w:bottom w:val="single" w:color="0B5C4D" w:sz="6" w:space="2"/>
        </w:pBdr>
        <w:spacing w:after="60" w:before="16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SKILLS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Skills · order matters — LinkedIn shows the top three, and endorsements follow that order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3039"/>
        <w:gridCol w:w="400"/>
        <w:gridCol w:w="3039"/>
        <w:gridCol w:w="400"/>
        <w:gridCol w:w="3039"/>
      </w:tblGrid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Data Architecture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6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11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Rust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2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Google Cloud Platform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7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dbt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12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Solution Architecture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3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8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Terraform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13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Data Engineering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4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BigQuery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9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Python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14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Vector Databases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5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Real-Time Data Streaming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10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Large Language Models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b/>
                <w:bCs/>
                <w:color w:val="9AA4AB"/>
                <w:sz w:val="18"/>
                <w:szCs w:val="18"/>
              </w:rPr>
              <w:t xml:space="preserve">15</w:t>
            </w:r>
          </w:p>
        </w:tc>
        <w:tc>
          <w:tcPr>
            <w:tcW w:type="dxa" w:w="30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0" w:before="0" w:line="246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Retrieval-Augmented Generation</w:t>
            </w:r>
          </w:p>
        </w:tc>
      </w:tr>
    </w:tbl>
    <w:p>
      <w:pPr>
        <w:keepNext/>
        <w:pBdr>
          <w:bottom w:val="single" w:color="0B5C4D" w:sz="6" w:space="2"/>
        </w:pBdr>
        <w:spacing w:after="60" w:before="24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EDUCATION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Walchand College of Engineering, Sangli — BE, Computer Science and Engineering, 2003–2007</w:t>
      </w:r>
    </w:p>
    <w:p>
      <w:pPr>
        <w:keepNext/>
        <w:pBdr>
          <w:bottom w:val="single" w:color="0B5C4D" w:sz="6" w:space="2"/>
        </w:pBdr>
        <w:spacing w:after="60" w:before="16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LICENSES AND CERTIFICATIONS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color w:val="1A1D21"/>
          <w:sz w:val="16"/>
          <w:szCs w:val="16"/>
        </w:rPr>
        <w:t xml:space="preserve">Professional Data Engineer — Google Cloud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Data Engineering, Big Data and Machine Learning on GCP — Coursera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Teradata Basics V2R5 — Teradata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Teradata SQL V2R5 — Teradata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Introduction to Oracle9i: SQL — Oracle</w:t>
      </w:r>
    </w:p>
    <w:p>
      <w:pPr>
        <w:spacing w:after="0" w:before="0" w:line="235" w:lineRule="exact"/>
      </w:pPr>
      <w:r>
        <w:rPr>
          <w:rFonts w:ascii="Arial" w:cs="Arial" w:eastAsia="Arial" w:hAnsi="Arial"/>
          <w:color w:val="5A646C"/>
          <w:sz w:val="17"/>
          <w:szCs w:val="17"/>
        </w:rPr>
        <w:t xml:space="preserve">Add the </w:t>
      </w: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credential ID and the Credly badge link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to the PDE entry. LinkedIn renders verified badges, and recruiters filter on them.</w:t>
      </w:r>
    </w:p>
    <w:p>
      <w:pPr>
        <w:keepNext/>
        <w:pBdr>
          <w:bottom w:val="single" w:color="0B5C4D" w:sz="6" w:space="2"/>
        </w:pBdr>
        <w:spacing w:after="60" w:before="240" w:line="230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HONORS AND AWARDS</w:t>
      </w:r>
    </w:p>
    <w:p>
      <w:pPr>
        <w:keepNext/>
        <w:spacing w:after="60" w:before="0" w:line="230" w:lineRule="exact"/>
      </w:pP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Profile → Honors &amp; awards · LinkedIn stores four fields per entry: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Title</w:t>
      </w: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,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Issuer</w:t>
      </w: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,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Issue date</w:t>
      </w: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, </w:t>
      </w:r>
      <w:r>
        <w:rPr>
          <w:rFonts w:ascii="Arial" w:cs="Arial" w:eastAsia="Arial" w:hAnsi="Arial"/>
          <w:b/>
          <w:bCs/>
          <w:color w:val="0B5C4D"/>
          <w:sz w:val="16"/>
          <w:szCs w:val="16"/>
        </w:rPr>
        <w:t xml:space="preserve">Description</w:t>
      </w:r>
      <w:r>
        <w:rPr>
          <w:rFonts w:ascii="Arial" w:cs="Arial" w:eastAsia="Arial" w:hAnsi="Arial"/>
          <w:i/>
          <w:iCs/>
          <w:color w:val="5A646C"/>
          <w:sz w:val="16"/>
          <w:szCs w:val="16"/>
        </w:rPr>
        <w:t xml:space="preserve">. Fill all four — a bare title reads as unverifiable.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20" w:line="233" w:lineRule="exact"/>
        <w:ind w:left="180" w:right="180"/>
      </w:pP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Title: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Banking Tech Awards 2024 — winning entry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Issuer: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Banking Tech Awards (FinTech Futures)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Issue date: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2024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Description: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Awarded to the self-serve fraud journey I architected as solution architect for a UK tier-1 retail bank — moving card freeze from an assisted call-centre process to one the customer completes end to end. The award was made to the programme; my contribution was the solution architecture.</w:t>
      </w:r>
    </w:p>
    <w:p>
      <w:pPr>
        <w:keepLines/>
        <w:pBdr>
          <w:left w:val="single" w:color="0B5C4D" w:sz="20" w:space="4"/>
        </w:pBdr>
        <w:shd w:fill="F4F7F6" w:color="auto" w:val="clear"/>
        <w:spacing w:after="80" w:before="0" w:line="233" w:lineRule="exact"/>
        <w:ind w:left="180" w:right="180"/>
      </w:pP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Title: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Card &amp; Payments Awards 2025 — winning entry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Issuer: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The Card &amp; Payments Awards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Issue date: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2025</w:t>
      </w:r>
      <w:r>
        <w:br/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A1D21"/>
          <w:sz w:val="16"/>
          <w:szCs w:val="16"/>
        </w:rPr>
        <w:t xml:space="preserve">Description:</w:t>
      </w:r>
      <w:r>
        <w:rPr>
          <w:rFonts w:ascii="Consolas" w:cs="Consolas" w:eastAsia="Consolas" w:hAnsi="Consolas"/>
          <w:color w:val="1A1D21"/>
          <w:sz w:val="16"/>
          <w:szCs w:val="16"/>
        </w:rPr>
        <w:t xml:space="preserve"> Same self-serve fraud journey, recognised a second time the following year.</w:t>
      </w:r>
    </w:p>
    <w:p>
      <w:pPr>
        <w:spacing w:after="0" w:before="0" w:line="235" w:lineRule="exact"/>
      </w:pP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Phrasing is deliberate — do not shorten it to "I won".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Awards of this kind are made to the institution or the programme, not to an individual. "Awarded to the journey I architected", with the role stated, is both true and stronger: it survives the question an interviewer will actually ask. A bare "Banking Tech Awards 2024" under your name does not.</w:t>
      </w:r>
    </w:p>
    <w:p>
      <w:pPr>
        <w:spacing w:after="0" w:before="60" w:line="235" w:lineRule="exact"/>
      </w:pP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Confirm the citation before you publish these.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You were unsure (2026-09-03) whether the published citation names this journey. That is tolerable in prose inside a job description; it is not tolerable in a structured Honors entry, which is exactly the field people verify. Ten minutes with the citation closes it. If it names the work differently, use their words.</w:t>
      </w:r>
    </w:p>
    <w:p>
      <w:pPr>
        <w:spacing w:after="0" w:before="60" w:line="235" w:lineRule="exact"/>
      </w:pPr>
      <w:r>
        <w:rPr>
          <w:rFonts w:ascii="Arial" w:cs="Arial" w:eastAsia="Arial" w:hAnsi="Arial"/>
          <w:color w:val="5A646C"/>
          <w:sz w:val="17"/>
          <w:szCs w:val="17"/>
        </w:rPr>
        <w:t xml:space="preserve">Two industry awards sitting silently in this section do almost nothing. </w:t>
      </w:r>
      <w:r>
        <w:rPr>
          <w:rFonts w:ascii="Arial" w:cs="Arial" w:eastAsia="Arial" w:hAnsi="Arial"/>
          <w:b/>
          <w:bCs/>
          <w:color w:val="1A1D21"/>
          <w:sz w:val="17"/>
          <w:szCs w:val="17"/>
        </w:rPr>
        <w:t xml:space="preserve">One short post about what actually changed for customers</w:t>
      </w:r>
      <w:r>
        <w:rPr>
          <w:rFonts w:ascii="Arial" w:cs="Arial" w:eastAsia="Arial" w:hAnsi="Arial"/>
          <w:color w:val="5A646C"/>
          <w:sz w:val="17"/>
          <w:szCs w:val="17"/>
        </w:rPr>
        <w:t xml:space="preserve"> will out-reach everything else on the profile.</w:t>
      </w:r>
    </w:p>
    <w:sectPr>
      <w:pgSz w:w="11906" w:h="16838" w:orient="portrait"/>
      <w:pgMar w:top="737" w:right="794" w:bottom="737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D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Koli — LinkedIn paste sheet</dc:title>
  <dc:creator>Sachin Koli</dc:creator>
  <cp:lastModifiedBy>Un-named</cp:lastModifiedBy>
  <cp:revision>1</cp:revision>
  <dcterms:created xsi:type="dcterms:W3CDTF">2026-09-04T05:12:56.549Z</dcterms:created>
  <dcterms:modified xsi:type="dcterms:W3CDTF">2026-09-04T05:12:56.561Z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