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500" w:lineRule="exact"/>
      </w:pPr>
      <w:r>
        <w:rPr>
          <w:rFonts w:ascii="Arial" w:cs="Arial" w:eastAsia="Arial" w:hAnsi="Arial"/>
          <w:b/>
          <w:bCs/>
          <w:color w:val="0B0D0F"/>
          <w:spacing w:val="-8"/>
          <w:sz w:val="50"/>
          <w:szCs w:val="50"/>
        </w:rPr>
        <w:t xml:space="preserve">Sachin Koli</w:t>
      </w:r>
    </w:p>
    <w:p>
      <w:pPr>
        <w:spacing w:after="20" w:before="0" w:line="293" w:lineRule="exact"/>
      </w:pPr>
      <w:r>
        <w:rPr>
          <w:rFonts w:ascii="Arial" w:cs="Arial" w:eastAsia="Arial" w:hAnsi="Arial"/>
          <w:b/>
          <w:bCs/>
          <w:color w:val="0B5C4D"/>
          <w:sz w:val="22"/>
          <w:szCs w:val="22"/>
        </w:rPr>
        <w:t xml:space="preserve">Solution Architect — Cloud Data &amp; AI Platforms</w:t>
      </w:r>
    </w:p>
    <w:p>
      <w:pPr>
        <w:spacing w:after="100" w:before="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Google Cloud Certified — Professional Data Engineer</w:t>
      </w:r>
    </w:p>
    <w:p>
      <w:pPr>
        <w:pBdr>
          <w:top w:val="single" w:color="D8DEE2" w:sz="6" w:space="5"/>
        </w:pBdr>
        <w:spacing w:after="0" w:before="0" w:line="229" w:lineRule="exact"/>
      </w:pPr>
      <w:r>
        <w:rPr>
          <w:rFonts w:ascii="Arial" w:cs="Arial" w:eastAsia="Arial" w:hAnsi="Arial"/>
          <w:color w:val="4A545C"/>
          <w:sz w:val="17"/>
          <w:szCs w:val="17"/>
        </w:rPr>
        <w:t xml:space="preserve">Pune, India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+91 95522 36200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kolisachint@gmail.com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linkedin.com/in/kolisachint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github.com/kolisachint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kolisachint.github.io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 </w:t>
      </w:r>
    </w:p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SUMMARY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18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building enterprise data platforms, now architecting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real-time streaming and batch data infrastructure on Google Cloud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a UK tier-1 retail bank — Confluent Kafka, Cloud Composer, dbt, BigQuery and Terraform, spanning legacy on-premise and cloud environments.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Five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at that bank across three platforms: digital wallets and Click to Pay, then the migration of its whole card-journey estate to GCP microservices, now the data platform. The self-serve fraud journey I designed won at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Banking Tech Awards 2024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Card &amp; Payments Awards 2025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Across twelve prior years in retail, telecom and banking data: a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Teradata →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lake migration, and a customer preference API on GCP that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cut $600,000 a year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Alongside it I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ship applied-AI tooling in the open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 terminal coding agent published to npm, and the Rust beneath it: ONNX inference, an ANN index written from scratch, hybrid retrieval.</w:t>
      </w:r>
    </w:p>
    <w:p>
      <w:pPr>
        <w:keepNext/>
        <w:pBdr>
          <w:bottom w:val="single" w:color="0B5C4D" w:sz="6" w:space="2"/>
        </w:pBdr>
        <w:spacing w:after="80" w:before="12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Tata Consultancy Services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Sep 2021 – Present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Solution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Lloyds Banking Group, United Kingdom — five years, Everyday Banking Platform</w:t>
      </w:r>
    </w:p>
    <w:p>
      <w:pPr>
        <w:keepNext/>
        <w:spacing w:after="0" w:before="68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GCP Data Platform &amp; Real-Time Analytics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Jul 2025 – Present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Architecting the bank's move off its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Group Data Warehouse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onto a GCP-native operational data platform against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Q3-2026 decommissioning date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authoring the shared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Microbatch Ingestion Service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(GKE, Cloud Storage landing zones,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Cloud Composer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Jenkins CI) that every source system onboards through, with formal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 contracts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five of them.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Engineered high-availability, event-driven ingestion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Confluent Kafka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Pub/Sub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Python, and hybrid batch orchestration spanning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Airflow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Tivoli Workload Scheduler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bridging the legacy on-premise estate to cloud rather than stopping at one or the other.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BigQuery schemas and modular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dbt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transformation pipelines with delta-load audit tables, enforced data quality and end-to-end lineage; automated testing and monitoring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Authored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full architecture-decision baseline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the bank's digital-behaviour data products — nested schema modelling, partition and cluster strategy per entity, and an identifier strategy that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achieved exact parity with the Adobe Analytics dashboards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while removing the sessionization compute the previous design depended 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Standardised provisioning with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Terraform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designed the platform's FinOps controls; co-owned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migration recommendation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ship the MVP on the current GCP foundation to protect the warehouse-exit date, with a pre-planned parallel run onto the strategic one and explicit cutover, rollback and DR criteria.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Card Platform Modernisation on GCP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2024 – Jul 2025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Owned the solution design migrating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entire card-journey estate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controls, limits, freeze, wallet provisioning, view card and PIN — from on-premise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GCP microservices behind Apigee X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sequenced as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three-tranche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release plan.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Won approval for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ID &amp; Auth onboarding pattern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now used across the estate, from a ten-criteria options analysis covering token exchange, proof-of-possession, scaling and traceability.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shared scheme-connectivity microservices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VISA and Fiserv, reused across feature teams on a common certificate-management pattern — every design carried through the bank's architecture, security-assurance and API governance forums.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Digital Wallets, Click to Pay &amp; Card Controls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2021 – 2024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Award-winning self-serve fraud journey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recognised at the Banking Tech Awards 2024 and the Card &amp; Payments Awards 2025 — moving card freeze from an assisted call-centre process to one the customer completes.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Authored the solution designs putting the bank's four card brands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Apple Pay, Google Pay and VISA Click to Pay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including the push-provisioning extension that made wallet-added cards usable for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online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checkout rather than offline only.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payment-token security to PCI standards — scheme and wallet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token generation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PGP key exchange with the wallet provider, HSM-backed keys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HashiCorp Vault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plus the lineage, quality and monitoring governance for the wallet data flows.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Sears IT and Management Services India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Feb 2018 – Sep 2021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Technical Specialist →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Sears Holdings Corporation, United States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Email Preference Center API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GCP App Engine, Pub/Sub, DataFlow and BigQuery, serving millions of customers —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reduced annual cost by $600,000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Migrated DataMarts from Teradata to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on schedule and without significant incident; designed the shared datamarts (CDW, NSegment, Campaign) on top.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API management layer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decoupling applications from cloud complexity across a multicloud estate — reused as the blueprint by other teams — and 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enterprise migration from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Unica to Adobe Campaign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Telluride, coordinating vendors (Adobe, BounceX) and internal teams; delivered Tableau and Data Studio reporting and ran continuous GCP cost optimisation.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Cognizant Technology Solutions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Nov 2010 – Feb 2018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Senior Associate – Projects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Saudi Telecom Company, Saudi Arabia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data modelling for the enterprise warehouse — customers, accounts, subscriptions, offers and products across every channel and business unit — extending it by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snowflaking dimensions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automation tool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propagating a new key through every dimension table, Teradata utility script (FastLoad, MultiLoad, FastExport, BTEQ) and Ab-Initio object automatically; ran a big-data POC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Apache Hive and HDFS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CDR ingestion.</w:t>
      </w:r>
    </w:p>
    <w:p>
      <w:pPr>
        <w:keepNext/>
        <w:spacing w:after="0" w:before="12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Barclays, United Kingdom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staging from core banking (FLEX), ATM/POS (SPARROW) and online transaction sources, then the DataMarts above them.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One Africa: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logical and physical data models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built reusable automation (TWS object-creation, Teradata code generation, Unix deployment) and archiving that tiered history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Greenplum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Mahindra Satyam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Jan 2008 – Nov 2010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Software Developer – S2 · Hyderabad / Bangalore,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Telstra Corporation, Australia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TR2.1 / TR2.2 EDW Data-In</w:t>
      </w:r>
    </w:p>
    <w:p>
      <w:pPr>
        <w:pStyle w:val="ListParagraph"/>
        <w:keepLines/>
        <w:numPr>
          <w:ilvl w:val="0"/>
          <w:numId w:val="2"/>
        </w:numPr>
        <w:spacing w:after="130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DataStage 7.5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jobs, Teradata utility scripts and Perl/Unix tooling for the retail customer warehouse — registrations, demographics, segmentation, billed and unbilled call records — plus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Informatica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mappings migrating Oracle to Teradata.</w:t>
      </w:r>
    </w:p>
    <w:p>
      <w:pPr>
        <w:keepNext/>
        <w:pBdr>
          <w:bottom w:val="single" w:color="0B5C4D" w:sz="6" w:space="2"/>
        </w:pBdr>
        <w:spacing w:after="80" w:before="6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OPEN SOURCE — APPLIED AI &amp; AGENT TOOLING</w:t>
      </w:r>
    </w:p>
    <w:p>
      <w:pPr>
        <w:spacing w:after="0" w:before="0" w:line="223" w:lineRule="exact"/>
      </w:pPr>
      <w:r>
        <w:rPr>
          <w:rFonts w:ascii="Arial" w:cs="Arial" w:eastAsia="Arial" w:hAnsi="Arial"/>
          <w:i/>
          <w:iCs/>
          <w:color w:val="5A646C"/>
          <w:sz w:val="17"/>
          <w:szCs w:val="17"/>
        </w:rPr>
        <w:t xml:space="preserve">Built in my own time and shipped in public — </w:t>
      </w:r>
      <w:r>
        <w:rPr>
          <w:rFonts w:ascii="Arial" w:cs="Arial" w:eastAsia="Arial" w:hAnsi="Arial"/>
          <w:b/>
          <w:bCs/>
          <w:i/>
          <w:iCs/>
          <w:color w:val="5A646C"/>
          <w:sz w:val="17"/>
          <w:szCs w:val="17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hoocode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deterministic terminal coding agent,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published to npm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TypeScript monorepo of four packages: CLI, agent runtime with tool calling,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unified LLM API across 25+ providers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differential-rendering TUI. Permission gate on every edit and command, four scoped modes, MCP servers, subagents. ~470 commits since May 2026, extending a fork of the MIT-licensed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pi-mono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embeddingsearchtools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embedding search engine. MiniLM via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int8 weights bundled into the binary; exact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HNSW approximate-nearest-neighbour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indexes written from scratch;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BM25 fusion for hybrid retrieval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mmap store, library API, CLI, daemon.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voicetools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offline speech-to-text: mic capture through voice-activity detection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Parakeet-TDT on 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(25 languages, int8), whisper.cpp fallback.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webtools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token-efficient fetch and search for LLM agents; reference-style URL preservation collapses links to single-token markers under a token budget.</w:t>
      </w:r>
    </w:p>
    <w:p>
      <w:pPr>
        <w:keepNext/>
        <w:pBdr>
          <w:bottom w:val="single" w:color="0B5C4D" w:sz="6" w:space="2"/>
        </w:pBdr>
        <w:spacing w:after="80" w:before="15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TECHNICAL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80"/>
        <w:gridCol w:w="8866"/>
      </w:tblGrid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Cloud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 — BigQuery, Cloud Composer, GKE, Pub/Sub, DataFlow, Cloud Storage, Apigee, Compute Engine, Cloud SQL, VPC, IAM · AWS (S3)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Streaming &amp; orchestration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Confluent Kafka, Pub/Sub, Apache Beam · 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Architecture &amp; infra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Terraform, CI/CD, containerisation · microservices, API gateways, service discovery, multicloud and hybrid patterns, data governance, cost optimisation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Databases &amp; BI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BigQuery, Teradata, Oracle, Greenplum · Tableau, Looker Studio, Cognos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Domains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 &amp; CERTIFICATIONS</w:t>
      </w:r>
    </w:p>
    <w:p>
      <w:pPr>
        <w:spacing w:after="50" w:before="0" w:line="241" w:lineRule="exact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BE, Computer Science and Engineering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Google Cloud Professional Cloud Architect —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in progress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Data Engineering, Big Data and Machine Learning on GCP — Coursera specialisation · Teradata Basics V2R5 · Teradata SQL V2R5 · Introduction to Oracle9i: SQL</w:t>
      </w:r>
    </w:p>
    <w:sectPr>
      <w:pgSz w:w="11906" w:h="16838" w:orient="portrait"/>
      <w:pgMar w:top="624" w:right="680" w:bottom="62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color w:val="9AA4A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</dc:title>
  <dc:creator>Sachin Koli</dc:creator>
  <cp:lastModifiedBy>Un-named</cp:lastModifiedBy>
  <cp:revision>1</cp:revision>
  <dcterms:created xsi:type="dcterms:W3CDTF">2026-09-04T03:55:01.228Z</dcterms:created>
  <dcterms:modified xsi:type="dcterms:W3CDTF">2026-09-04T03:55:01.228Z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