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68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38"/>
        <w:gridCol w:w="11013"/>
        <w:gridCol w:w="3387"/>
      </w:tblGrid>
      <w:tr>
        <w:tc>
          <w:tcPr>
            <w:tcW w:type="dxa" w:w="2438"/>
            <w:tcBorders>
              <w:top w:val="none" w:color="FFFFFF" w:sz="0"/>
              <w:left w:val="none" w:color="FFFFFF" w:sz="0"/>
              <w:bottom w:val="single" w:color="0A5245" w:sz="10" w:space="2"/>
              <w:right w:val="none" w:color="FFFFFF" w:sz="0"/>
            </w:tcBorders>
            <w:shd w:fill="EBEEE9" w:color="auto" w:val="clear"/>
            <w:tcMar>
              <w:top w:type="dxa" w:w="454"/>
              <w:left w:type="dxa" w:w="567"/>
              <w:bottom w:type="dxa" w:w="340"/>
              <w:right w:type="dxa" w:w="397"/>
            </w:tcMar>
          </w:tcPr>
          <w:p>
            <w:pPr>
              <w:spacing w:after="0" w:before="0"/>
            </w:pPr>
            <w:r>
              <w:drawing>
                <wp:inline distT="0" distB="0" distL="0" distR="0">
                  <wp:extent cx="933450" cy="1095375"/>
                  <wp:effectExtent t="22860" r="22860" b="22860" l="2286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095375"/>
                          </a:xfrm>
                          <a:prstGeom prst="rect">
                            <a:avLst/>
                          </a:prstGeom>
                          <a:noFill/>
                          <a:ln w="11430">
                            <a:solidFill>
                              <a:srgbClr val="14181D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013"/>
            <w:tcBorders>
              <w:top w:val="none" w:color="FFFFFF" w:sz="0"/>
              <w:left w:val="none" w:color="FFFFFF" w:sz="0"/>
              <w:bottom w:val="single" w:color="0A5245" w:sz="10" w:space="2"/>
              <w:right w:val="none" w:color="FFFFFF" w:sz="0"/>
            </w:tcBorders>
            <w:shd w:fill="EBEEE9" w:color="auto" w:val="clear"/>
            <w:tcMar>
              <w:top w:type="dxa" w:w="454"/>
              <w:left w:type="dxa" w:w="0"/>
              <w:bottom w:type="dxa" w:w="340"/>
              <w:right w:type="dxa" w:w="397"/>
            </w:tcMar>
          </w:tcPr>
          <w:p>
            <w:pPr>
              <w:spacing w:after="0" w:before="0" w:line="513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pacing w:val="-16"/>
                <w:sz w:val="54"/>
                <w:szCs w:val="54"/>
              </w:rPr>
              <w:t xml:space="preserve">Sachin </w:t>
            </w:r>
            <w:r>
              <w:rPr>
                <w:rFonts w:ascii="Arial" w:cs="Arial" w:eastAsia="Arial" w:hAnsi="Arial"/>
                <w:b/>
                <w:bCs/>
                <w:color w:val="0A5245"/>
                <w:spacing w:val="-16"/>
                <w:sz w:val="54"/>
                <w:szCs w:val="54"/>
              </w:rPr>
              <w:t xml:space="preserve">Koli</w:t>
            </w:r>
          </w:p>
          <w:p>
            <w:pPr>
              <w:spacing w:after="0" w:before="85" w:line="312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2"/>
                <w:szCs w:val="22"/>
              </w:rPr>
              <w:t xml:space="preserve">Solution Architect — Cloud Data &amp; AI Platforms</w:t>
            </w:r>
          </w:p>
          <w:p>
            <w:pPr>
              <w:spacing w:after="0" w:before="68" w:line="210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Google Cloud Certified — Professional Data Engineer</w:t>
            </w: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· Cloud Architect in progress</w:t>
            </w:r>
          </w:p>
        </w:tc>
        <w:tc>
          <w:tcPr>
            <w:tcW w:type="dxa" w:w="3387"/>
            <w:tcBorders>
              <w:top w:val="none" w:color="FFFFFF" w:sz="0"/>
              <w:left w:val="none" w:color="FFFFFF" w:sz="0"/>
              <w:bottom w:val="single" w:color="0A5245" w:sz="10" w:space="2"/>
              <w:right w:val="none" w:color="FFFFFF" w:sz="0"/>
            </w:tcBorders>
            <w:shd w:fill="EBEEE9" w:color="auto" w:val="clear"/>
            <w:tcMar>
              <w:top w:type="dxa" w:w="454"/>
              <w:left w:type="dxa" w:w="0"/>
              <w:bottom w:type="dxa" w:w="340"/>
              <w:right w:type="dxa" w:w="567"/>
            </w:tcMar>
          </w:tcPr>
          <w:p>
            <w:pPr>
              <w:spacing w:after="0" w:before="0" w:line="252" w:lineRule="exact"/>
              <w:jc w:val="right"/>
            </w:pP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Pune, India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+91 95522 36200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kolisachint@gmail.com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linkedin.com/in/</w:t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kolisachint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github.com/</w:t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kolisachint </w:t>
            </w:r>
          </w:p>
        </w:tc>
      </w:tr>
    </w:tbl>
    <w:p>
      <w:pPr>
        <w:spacing w:after="0" w:before="0" w:line="1" w:lineRule="exact"/>
      </w:pPr>
      <w:r>
        <w:rPr>
          <w:sz w:val="2"/>
          <w:szCs w:val="2"/>
        </w:rPr>
        <w:t xml:space="preserve"/>
      </w:r>
    </w:p>
    <w:tbl>
      <w:tblPr>
        <w:tblW w:type="dxa" w:w="16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10"/>
        <w:gridCol w:w="4210"/>
        <w:gridCol w:w="4210"/>
        <w:gridCol w:w="4210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single" w:color="D2D7D1" w:sz="7" w:space="2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18 yrs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Enterprise data &amp; cloud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Banking · Retail · Telecom</w:t>
            </w:r>
          </w:p>
        </w:tc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single" w:color="D2D7D1" w:sz="7" w:space="2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$600K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Annual cost removed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Preference Center API on GCP, Sears</w:t>
            </w:r>
          </w:p>
        </w:tc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single" w:color="D2D7D1" w:sz="7" w:space="2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2024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Banking Tech Awards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Self-serve fraud journey — architect</w:t>
            </w:r>
          </w:p>
        </w:tc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none" w:color="FFFFFF" w:sz="0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2025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Card &amp; Payments Awards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Self-serve fraud journey — architect</w:t>
            </w:r>
          </w:p>
        </w:tc>
      </w:tr>
    </w:tbl>
    <w:p>
      <w:pPr>
        <w:spacing w:after="0" w:before="0" w:line="1" w:lineRule="exact"/>
      </w:pPr>
      <w:r>
        <w:rPr>
          <w:sz w:val="2"/>
          <w:szCs w:val="2"/>
        </w:rPr>
        <w:t xml:space="preserve"/>
      </w:r>
    </w:p>
    <w:tbl>
      <w:tblPr>
        <w:tblW w:type="dxa" w:w="168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887"/>
        <w:gridCol w:w="5887"/>
        <w:gridCol w:w="5063"/>
      </w:tblGrid>
      <w:tr>
        <w:tc>
          <w:tcPr>
            <w:tcW w:type="dxa" w:w="5887"/>
            <w:tcBorders>
              <w:top w:val="none" w:color="FFFFFF" w:sz="0"/>
              <w:left w:val="none" w:color="FFFFFF" w:sz="0"/>
              <w:bottom w:val="none" w:color="FFFFFF" w:sz="0"/>
              <w:right w:val="single" w:color="D2D7D1" w:sz="7" w:space="2"/>
            </w:tcBorders>
            <w:tcMar>
              <w:top w:type="dxa" w:w="369"/>
              <w:left w:type="dxa" w:w="369"/>
              <w:bottom w:type="dxa" w:w="369"/>
              <w:right w:type="dxa" w:w="369"/>
            </w:tcMar>
          </w:tcPr>
          <w:p>
            <w:pPr>
              <w:pBdr>
                <w:bottom w:val="single" w:color="0A5245" w:sz="7" w:space="4"/>
              </w:pBdr>
              <w:spacing w:after="170" w:before="0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WHAT I BUILD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Cloud Data Platform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2025 —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Architect of the batch and real-time streaming platform for a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UK tier-1 retail bank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. Event-driven ingestion, hybrid orchestration bridging a legacy enterprise scheduler with cloud workflows, modelled warehouse, provisioned as code.</w:t>
            </w:r>
          </w:p>
          <w:p>
            <w:pPr>
              <w:spacing w:after="306" w:before="102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Confluent Kafka · Cloud Composer · Airflow · dbt · BigQuery · Terraform · CI/CD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Applied AI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open source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A published agent ecosystem: a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terminal coding agent on npm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, and the Rust beneath it — embedding search with an ANN index written from scratch, offline speech recognition, token-efficient web retrieval.</w:t>
            </w:r>
          </w:p>
          <w:p>
            <w:pPr>
              <w:spacing w:after="306" w:before="102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Rust · TypeScript · ONNX Runtime · HNSW · BM25 hybrid retrieval · MCP · 25+ LLM providers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Payments &amp; Cards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2022 — 2025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Led modernisation of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Digital Cards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 — Add to Wallet, card controls, View PIN — from on-premise to GCP, with the secure microservice and cross-cloud API patterns a regulated estate needs.</w:t>
            </w:r>
          </w:p>
          <w:p>
            <w:pPr>
              <w:spacing w:after="306" w:before="102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GCP · microservices · API gateways · containerisation · compliance</w:t>
            </w:r>
          </w:p>
        </w:tc>
        <w:tc>
          <w:tcPr>
            <w:tcW w:type="dxa" w:w="5887"/>
            <w:tcBorders>
              <w:top w:val="none" w:color="FFFFFF" w:sz="0"/>
              <w:left w:val="none" w:color="FFFFFF" w:sz="0"/>
              <w:bottom w:val="none" w:color="FFFFFF" w:sz="0"/>
              <w:right w:val="single" w:color="D2D7D1" w:sz="7" w:space="2"/>
            </w:tcBorders>
            <w:tcMar>
              <w:top w:type="dxa" w:w="369"/>
              <w:left w:type="dxa" w:w="369"/>
              <w:bottom w:type="dxa" w:w="369"/>
              <w:right w:type="dxa" w:w="369"/>
            </w:tcMar>
          </w:tcPr>
          <w:p>
            <w:pPr>
              <w:pBdr>
                <w:bottom w:val="single" w:color="0A5245" w:sz="7" w:space="4"/>
              </w:pBdr>
              <w:spacing w:after="170" w:before="0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SHIPPED, IN PUBLIC · GITHUB.COM/KOLISACHINT</w:t>
            </w:r>
          </w:p>
          <w:p>
            <w:pPr>
              <w:tabs>
                <w:tab w:val="right" w:pos="5149"/>
              </w:tabs>
              <w:spacing w:after="0" w:before="2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hoocode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TypeScript · npm</w:t>
            </w:r>
          </w:p>
          <w:p>
            <w:pPr>
              <w:spacing w:after="0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Deterministic terminal coding agent. Permission gate on every edit and command; four scoped modes; MCP servers and subagents. Four packages, including a unified LLM API across 25+ providers.</w:t>
            </w:r>
          </w:p>
          <w:p>
            <w:pPr>
              <w:tabs>
                <w:tab w:val="right" w:pos="5149"/>
              </w:tabs>
              <w:spacing w:after="0" w:before="19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embeddingsearchtools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Rust</w:t>
            </w:r>
          </w:p>
          <w:p>
            <w:pPr>
              <w:spacing w:after="0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Embedding search engine. MiniLM via ONNX Runtime, int8 weights bundled into the binary; exact and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HNSW approximate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 indexes; BM25 lexical fusion for hybrid retrieval; mmap store, CLI and daemon.</w:t>
            </w:r>
          </w:p>
          <w:p>
            <w:pPr>
              <w:tabs>
                <w:tab w:val="right" w:pos="5149"/>
              </w:tabs>
              <w:spacing w:after="0" w:before="19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voicetools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Rust</w:t>
            </w:r>
          </w:p>
          <w:p>
            <w:pPr>
              <w:spacing w:after="0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Offline speech-to-text. Microphone capture through voice-activity detection into Parakeet-TDT on ONNX Runtime, 25 languages, Whisper fallback.</w:t>
            </w:r>
          </w:p>
          <w:p>
            <w:pPr>
              <w:tabs>
                <w:tab w:val="right" w:pos="5149"/>
              </w:tabs>
              <w:spacing w:after="0" w:before="19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webtools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Rust</w:t>
            </w:r>
          </w:p>
          <w:p>
            <w:pPr>
              <w:spacing w:after="193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Token-efficient fetch and search for LLM agents. Reference-style URL preservation turns links into single-token markers under a token budget.</w:t>
            </w:r>
          </w:p>
        </w:tc>
        <w:tc>
          <w:tcPr>
            <w:tcW w:type="dxa" w:w="5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9"/>
              <w:left w:type="dxa" w:w="369"/>
              <w:bottom w:type="dxa" w:w="369"/>
              <w:right w:type="dxa" w:w="369"/>
            </w:tcMar>
          </w:tcPr>
          <w:p>
            <w:pPr>
              <w:pBdr>
                <w:bottom w:val="single" w:color="0A5245" w:sz="7" w:space="4"/>
              </w:pBdr>
              <w:spacing w:after="170" w:before="0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CLIENTS</w:t>
            </w:r>
          </w:p>
          <w:tbl>
            <w:tblPr>
              <w:tblW w:type="dxa" w:w="43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350"/>
              <w:gridCol w:w="2975"/>
            </w:tblGrid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Banking UK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Lloyds Banking Group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Retail US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Sears Holdings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Telecom SAU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Saudi Telecom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Banking UK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Barclays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Telecom AU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Telstra</w:t>
                  </w:r>
                </w:p>
              </w:tc>
            </w:tr>
          </w:tbl>
          <w:p>
            <w:pPr>
              <w:pBdr>
                <w:bottom w:val="single" w:color="0A5245" w:sz="7" w:space="4"/>
              </w:pBdr>
              <w:spacing w:after="170" w:before="255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TRACK</w:t>
            </w:r>
          </w:p>
          <w:tbl>
            <w:tblPr>
              <w:tblW w:type="dxa" w:w="43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70"/>
              <w:gridCol w:w="3355"/>
            </w:tblGrid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2021—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Tata Consultancy Services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Solution Architect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2018—21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Sears India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Architect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2010—18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Cognizant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Sr. Associate — Projects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2008—10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Mahindra Satyam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Software Developer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2003—07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BE Computer Science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Walchand COE, Sangli</w:t>
                  </w:r>
                </w:p>
              </w:tc>
            </w:tr>
          </w:tbl>
          <w:p/>
        </w:tc>
      </w:tr>
    </w:tbl>
    <w:p>
      <w:pPr>
        <w:pBdr>
          <w:top w:val="single" w:color="D2D7D1" w:sz="7" w:space="7"/>
        </w:pBdr>
        <w:tabs>
          <w:tab w:val="right" w:pos="16838"/>
        </w:tabs>
        <w:spacing w:after="170" w:before="0" w:line="173" w:lineRule="exact"/>
        <w:ind w:left="567" w:right="567"/>
      </w:pPr>
      <w:r>
        <w:rPr>
          <w:rFonts w:ascii="Consolas" w:cs="Consolas" w:eastAsia="Consolas" w:hAnsi="Consolas"/>
          <w:color w:val="6C7571"/>
          <w:sz w:val="12"/>
          <w:szCs w:val="12"/>
        </w:rPr>
        <w:t xml:space="preserve">Sachin Koli — Solution Architect, Cloud Data &amp; AI Platforms</w:t>
      </w:r>
      <w:r>
        <w:t xml:space="preserve">	</w:t>
      </w:r>
      <w:r>
        <w:rPr>
          <w:rFonts w:ascii="Consolas" w:cs="Consolas" w:eastAsia="Consolas" w:hAnsi="Consolas"/>
          <w:color w:val="6C7571"/>
          <w:sz w:val="12"/>
          <w:szCs w:val="12"/>
        </w:rPr>
        <w:t xml:space="preserve">github.com/kolisachint</w:t>
      </w:r>
    </w:p>
    <w:sectPr>
      <w:pgSz w:w="16838" w:h="11906" w:orient="landscape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81D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7f57ca1ca1693b4d44d27a7409bab020e50bc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Profile</dc:title>
  <dc:creator>Sachin Koli</dc:creator>
  <cp:lastModifiedBy>Un-named</cp:lastModifiedBy>
  <cp:revision>1</cp:revision>
  <dcterms:created xsi:type="dcterms:W3CDTF">2026-08-30T19:16:29.960Z</dcterms:created>
  <dcterms:modified xsi:type="dcterms:W3CDTF">2026-08-30T19:16:29.960Z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