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400" w:lineRule="exact"/>
      </w:pPr>
      <w:r>
        <w:rPr>
          <w:rFonts w:ascii="Arial" w:cs="Arial" w:eastAsia="Arial" w:hAnsi="Arial"/>
          <w:b/>
          <w:bCs/>
          <w:color w:val="0B0D0F"/>
          <w:spacing w:val="-6"/>
          <w:sz w:val="40"/>
          <w:szCs w:val="40"/>
        </w:rPr>
        <w:t xml:space="preserve">Sachin Koli</w:t>
      </w:r>
    </w:p>
    <w:p>
      <w:pPr>
        <w:spacing w:after="120" w:before="0" w:line="294" w:lineRule="exact"/>
      </w:pPr>
      <w:r>
        <w:rPr>
          <w:rFonts w:ascii="Arial" w:cs="Arial" w:eastAsia="Arial" w:hAnsi="Arial"/>
          <w:b/>
          <w:bCs/>
          <w:color w:val="0B5C4D"/>
          <w:sz w:val="21"/>
          <w:szCs w:val="21"/>
        </w:rPr>
        <w:t xml:space="preserve">LinkedIn — paste sheet</w:t>
      </w:r>
    </w:p>
    <w:p>
      <w:pPr>
        <w:pBdr>
          <w:left w:val="single" w:color="C98A12" w:sz="20" w:space="5"/>
        </w:pBdr>
        <w:shd w:fill="FDF6E6" w:color="auto" w:val="clear"/>
        <w:spacing w:after="180" w:before="0" w:line="241" w:lineRule="exact"/>
        <w:ind w:left="180" w:right="180"/>
      </w:pPr>
      <w:r>
        <w:rPr>
          <w:rFonts w:ascii="Arial" w:cs="Arial" w:eastAsia="Arial" w:hAnsi="Arial"/>
          <w:b/>
          <w:bCs/>
          <w:color w:val="4A3208"/>
          <w:sz w:val="17"/>
          <w:szCs w:val="17"/>
        </w:rPr>
        <w:t xml:space="preserve">Not a document to send.</w:t>
      </w:r>
      <w:r>
        <w:rPr>
          <w:rFonts w:ascii="Arial" w:cs="Arial" w:eastAsia="Arial" w:hAnsi="Arial"/>
          <w:color w:val="6B4A12"/>
          <w:sz w:val="17"/>
          <w:szCs w:val="17"/>
        </w:rPr>
        <w:t xml:space="preserve"> Every block below goes into a field on linkedin.com. </w:t>
      </w:r>
      <w:r>
        <w:rPr>
          <w:rFonts w:ascii="Arial" w:cs="Arial" w:eastAsia="Arial" w:hAnsi="Arial"/>
          <w:b/>
          <w:bCs/>
          <w:color w:val="4A3208"/>
          <w:sz w:val="17"/>
          <w:szCs w:val="17"/>
        </w:rPr>
        <w:t xml:space="preserve">No client is named here, and none may be added</w:t>
      </w:r>
      <w:r>
        <w:rPr>
          <w:rFonts w:ascii="Arial" w:cs="Arial" w:eastAsia="Arial" w:hAnsi="Arial"/>
          <w:color w:val="6B4A12"/>
          <w:sz w:val="17"/>
          <w:szCs w:val="17"/>
        </w:rPr>
        <w:t xml:space="preserve"> — every one of them came through a services contract, and this profile is public. "A UK tier-1 retail bank" carries the same weight to anyone hiring; the logo only carries risk. Client names belong in the recruiter resume, which goes to one addressed person at a time.</w:t>
      </w:r>
    </w:p>
    <w:p>
      <w:pPr>
        <w:keepNext/>
        <w:pBdr>
          <w:bottom w:val="single" w:color="0B5C4D" w:sz="6" w:space="2"/>
        </w:pBdr>
        <w:spacing w:after="60" w:before="60" w:line="230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6"/>
          <w:szCs w:val="16"/>
        </w:rPr>
        <w:t xml:space="preserve">HEADLINE</w:t>
      </w:r>
    </w:p>
    <w:p>
      <w:pPr>
        <w:keepNext/>
        <w:spacing w:after="60" w:before="0" w:line="230" w:lineRule="exact"/>
      </w:pPr>
      <w:r>
        <w:rPr>
          <w:rFonts w:ascii="Arial" w:cs="Arial" w:eastAsia="Arial" w:hAnsi="Arial"/>
          <w:i/>
          <w:iCs/>
          <w:color w:val="5A646C"/>
          <w:sz w:val="16"/>
          <w:szCs w:val="16"/>
        </w:rPr>
        <w:t xml:space="preserve">Profile → Headline · </w:t>
      </w:r>
      <w:r>
        <w:rPr>
          <w:rFonts w:ascii="Arial" w:cs="Arial" w:eastAsia="Arial" w:hAnsi="Arial"/>
          <w:b/>
          <w:bCs/>
          <w:color w:val="0B5C4D"/>
          <w:sz w:val="16"/>
          <w:szCs w:val="16"/>
        </w:rPr>
        <w:t xml:space="preserve">205 of 220 characters</w:t>
      </w:r>
      <w:r>
        <w:rPr>
          <w:rFonts w:ascii="Arial" w:cs="Arial" w:eastAsia="Arial" w:hAnsi="Arial"/>
          <w:i/>
          <w:iCs/>
          <w:color w:val="5A646C"/>
          <w:sz w:val="16"/>
          <w:szCs w:val="16"/>
        </w:rPr>
        <w:t xml:space="preserve"> · the highest-leverage field on the profile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2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Solution Architect — Cloud Data &amp; AI Platforms | GCP Certified Professional Data Engineer | Kafka, BigQuery, dbt, Airflow, Terraform | Award-winning fraud journeys (Banking Tech 2024, Card &amp; Payments 2025)</w:t>
      </w:r>
    </w:p>
    <w:p>
      <w:pPr>
        <w:spacing w:after="0" w:before="0" w:line="235" w:lineRule="exact"/>
      </w:pPr>
      <w:r>
        <w:rPr>
          <w:rFonts w:ascii="Arial" w:cs="Arial" w:eastAsia="Arial" w:hAnsi="Arial"/>
          <w:color w:val="5A646C"/>
          <w:sz w:val="17"/>
          <w:szCs w:val="17"/>
        </w:rPr>
        <w:t xml:space="preserve">Order is deliberate: </w:t>
      </w:r>
      <w:r>
        <w:rPr>
          <w:rFonts w:ascii="Arial" w:cs="Arial" w:eastAsia="Arial" w:hAnsi="Arial"/>
          <w:b/>
          <w:bCs/>
          <w:color w:val="1A1D21"/>
          <w:sz w:val="17"/>
          <w:szCs w:val="17"/>
        </w:rPr>
        <w:t xml:space="preserve">Data &amp; AI</w:t>
      </w:r>
      <w:r>
        <w:rPr>
          <w:rFonts w:ascii="Arial" w:cs="Arial" w:eastAsia="Arial" w:hAnsi="Arial"/>
          <w:color w:val="5A646C"/>
          <w:sz w:val="17"/>
          <w:szCs w:val="17"/>
        </w:rPr>
        <w:t xml:space="preserve"> first because both halves are earned; the </w:t>
      </w:r>
      <w:r>
        <w:rPr>
          <w:rFonts w:ascii="Arial" w:cs="Arial" w:eastAsia="Arial" w:hAnsi="Arial"/>
          <w:b/>
          <w:bCs/>
          <w:color w:val="1A1D21"/>
          <w:sz w:val="17"/>
          <w:szCs w:val="17"/>
        </w:rPr>
        <w:t xml:space="preserve">certification second</w:t>
      </w:r>
      <w:r>
        <w:rPr>
          <w:rFonts w:ascii="Arial" w:cs="Arial" w:eastAsia="Arial" w:hAnsi="Arial"/>
          <w:color w:val="5A646C"/>
          <w:sz w:val="17"/>
          <w:szCs w:val="17"/>
        </w:rPr>
        <w:t xml:space="preserve"> because it is searchable and recruiters filter on it; the named stack third because those are the exact tokens they search; the awards last, because proof works best after a claim.</w:t>
      </w:r>
    </w:p>
    <w:p>
      <w:pPr>
        <w:keepNext/>
        <w:pBdr>
          <w:bottom w:val="single" w:color="0B5C4D" w:sz="6" w:space="2"/>
        </w:pBdr>
        <w:spacing w:after="60" w:before="240" w:line="230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6"/>
          <w:szCs w:val="16"/>
        </w:rPr>
        <w:t xml:space="preserve">LOCATION AND OPEN TO</w:t>
      </w:r>
    </w:p>
    <w:p>
      <w:pPr>
        <w:keepNext/>
        <w:spacing w:after="60" w:before="0" w:line="230" w:lineRule="exact"/>
      </w:pPr>
      <w:r>
        <w:rPr>
          <w:rFonts w:ascii="Arial" w:cs="Arial" w:eastAsia="Arial" w:hAnsi="Arial"/>
          <w:i/>
          <w:iCs/>
          <w:color w:val="5A646C"/>
          <w:sz w:val="16"/>
          <w:szCs w:val="16"/>
        </w:rPr>
        <w:t xml:space="preserve">Profile → Location, and the Open to work banner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2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Pune, Maharashtra, India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Open to work — recruiters only. Titles: Solution Architect · Data Architect · Cloud Architect · Principal Data Engineer · Platform Architect Locations: Pune · Bengaluru · Hyderabad · Remote (India)</w:t>
      </w:r>
    </w:p>
    <w:p>
      <w:pPr>
        <w:keepNext/>
        <w:pBdr>
          <w:bottom w:val="single" w:color="0B5C4D" w:sz="6" w:space="2"/>
        </w:pBdr>
        <w:spacing w:after="60" w:before="160" w:line="230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6"/>
          <w:szCs w:val="16"/>
        </w:rPr>
        <w:t xml:space="preserve">ABOUT</w:t>
      </w:r>
    </w:p>
    <w:p>
      <w:pPr>
        <w:keepNext/>
        <w:spacing w:after="60" w:before="0" w:line="230" w:lineRule="exact"/>
      </w:pPr>
      <w:r>
        <w:rPr>
          <w:rFonts w:ascii="Arial" w:cs="Arial" w:eastAsia="Arial" w:hAnsi="Arial"/>
          <w:i/>
          <w:iCs/>
          <w:color w:val="5A646C"/>
          <w:sz w:val="16"/>
          <w:szCs w:val="16"/>
        </w:rPr>
        <w:t xml:space="preserve">Profile → About · </w:t>
      </w:r>
      <w:r>
        <w:rPr>
          <w:rFonts w:ascii="Arial" w:cs="Arial" w:eastAsia="Arial" w:hAnsi="Arial"/>
          <w:b/>
          <w:bCs/>
          <w:color w:val="0B5C4D"/>
          <w:sz w:val="16"/>
          <w:szCs w:val="16"/>
        </w:rPr>
        <w:t xml:space="preserve">1,959 of 2,600 characters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2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I build the data platforms large enterprises run on, and I ship the applied-AI tooling that sits on top of them. Google Cloud Certified Professional Data Engineer.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Right now I architect the batch and real-time streaming platform for a UK tier-1 retail bank, and the move of its enterprise data warehouse onto a cloud-native one: event-driven ingestion on Confluent Kafka and Pub/Sub, a shared ingestion service on Kubernetes, orchestration across Cloud Composer and a legacy enterprise scheduler, modelling in BigQuery and dbt, all of it provisioned through Terraform and CI/CD. The interesting part is not any single tool — it is making a modern cloud stack and a twenty-year-old on-premise estate agree with each other, reliably, every night, and writing the decisions down so the next team can see why.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Before the data platform I spent four years on cards and payments at the same bank: first putting its card brands into the mobile wallets and scheme click-to-pay, then migrating the whole card-journey estate onto cloud microservices behind an API gateway. The self-serve fraud journey I architected won at the Banking Tech Awards 2024 and the Card &amp; Payments Awards 2025 — it took fraud reporting out of the call-centre queue and gave it to the customer.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Earlier: twelve years of enterprise data across retail, telecom and banking. A Teradata-to-BigQuery lake migration. A customer preference API on GCP serving millions of people that took $600,000 a year out of running cost. Warehouses unifying a global bank's data across several African markets.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I also ship applied AI in the open. hoocode is a deterministic terminal coding agent I publish to npm — a permission gate on every edit, four scoped modes, and a unified API across 25+ LLM providers. Underneath it sits Rust I wrote: an embedding search engine with ONNX inference, an HNSW index built from scratch and BM25 fusion for hybrid retrieval; offline speech-to-text; token-efficient web retrieval for agents. The platforms I design are exactly the substrate retrieval and ML workloads need, and I would rather build that layer than hand it over.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Open to Solution Architect, Data Architect and Cloud Architect roles — especially where the data platform is the product.</w:t>
      </w:r>
    </w:p>
    <w:p>
      <w:pPr>
        <w:keepNext/>
        <w:pBdr>
          <w:bottom w:val="single" w:color="0B5C4D" w:sz="6" w:space="2"/>
        </w:pBdr>
        <w:spacing w:after="60" w:before="160" w:line="230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6"/>
          <w:szCs w:val="16"/>
        </w:rPr>
        <w:t xml:space="preserve">EXPERIENCE ENTRIES</w:t>
      </w:r>
    </w:p>
    <w:p>
      <w:pPr>
        <w:keepNext/>
        <w:spacing w:after="60" w:before="0" w:line="230" w:lineRule="exact"/>
      </w:pPr>
      <w:r>
        <w:rPr>
          <w:rFonts w:ascii="Arial" w:cs="Arial" w:eastAsia="Arial" w:hAnsi="Arial"/>
          <w:i/>
          <w:iCs/>
          <w:color w:val="5A646C"/>
          <w:sz w:val="16"/>
          <w:szCs w:val="16"/>
        </w:rPr>
        <w:t xml:space="preserve">Profile → Experience · one block per role, pasted into the description field</w:t>
      </w:r>
    </w:p>
    <w:p>
      <w:pPr>
        <w:keepNext/>
        <w:spacing w:after="20" w:before="100" w:line="269" w:lineRule="exact"/>
      </w:pPr>
      <w:r>
        <w:rPr>
          <w:rFonts w:ascii="Arial" w:cs="Arial" w:eastAsia="Arial" w:hAnsi="Arial"/>
          <w:b/>
          <w:bCs/>
          <w:color w:val="0B0D0F"/>
          <w:sz w:val="19"/>
          <w:szCs w:val="19"/>
        </w:rPr>
        <w:t xml:space="preserve">Tata Consultancy Services — Solution Architect</w:t>
      </w:r>
    </w:p>
    <w:p>
      <w:pPr>
        <w:keepNext/>
        <w:spacing w:after="60" w:before="0" w:line="230" w:lineRule="exact"/>
      </w:pPr>
      <w:r>
        <w:rPr>
          <w:rFonts w:ascii="Arial" w:cs="Arial" w:eastAsia="Arial" w:hAnsi="Arial"/>
          <w:i/>
          <w:iCs/>
          <w:color w:val="5A646C"/>
          <w:sz w:val="16"/>
          <w:szCs w:val="16"/>
        </w:rPr>
        <w:t xml:space="preserve">Sep 2021 – Present · Pune, India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2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Data platform and cards &amp; payments architecture for a UK tier-1 retail bank — five years, three platforms.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Data Platform &amp; Real-Time Analytics (Jul 2025 – present)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Architected the migration of an enterprise data warehouse onto a cloud-native data platform, covering ingestion, curation and consumption.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Authored the shared batch ingestion service design — Kubernetes-hosted ingestion, object-storage landing zones, BigQuery targets, Cloud Composer orchestration and CI — adopted as the standard onboarding pattern for source systems.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Engineered high-availability event-driven ingestion on Confluent Kafka and Pub/Sub with Python for low-latency data delivery.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Architected hybrid batch orchestration across Cloud Composer (Apache Airflow) and a legacy enterprise scheduler, managing dependency graphs spanning on-premise and cloud.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Designed BigQuery warehouse schemas and modular dbt transformation pipelines with delta-load audit tables, enforced data quality and end-to-end lineage.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Authored the architecture decision baseline for a behavioural data-product layer on BigQuery — nested schema modelling, partitioning and clustering strategy, and an identifier strategy that achieved exact parity with the incumbent analytics dashboards while removing sessionization compute.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Standardised infrastructure with Terraform — Composer environments, BigQuery datasets, IAM — integrated into CI/CD to cut configuration drift and deployment time.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Designed platform FinOps controls: rightsizing, autoscaling, storage tiering and lifecycle policy.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Card Platform Modernisation on Cloud (2024 – Jul 2025)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Owned the solution design migrating an entire card-journey estate — controls, limits, freeze, wallet provisioning, view card and PIN — from on-premise to cloud microservices behind an API gateway, sequenced across three release tranches.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Authored and secured approval for the identity and authentication onboarding pattern adopted across the estate, from a ten-criteria options analysis.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Designed shared scheme-connectivity microservices reused across feature teams on a common certificate-management pattern.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Digital Wallets, Click to Pay &amp; Card Controls (2021 – 2024)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Architected a self-serve fraud journey recognised at the Banking Tech Awards 2024 and the Card &amp; Payments Awards 2025.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Authored the solution designs enabling four card brands in the major mobile wallets and in scheme click-to-pay, covering push provisioning, card registration and scheme token handling.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Designed payment-token security to PCI standards — token generation, PGP key exchange with the wallet provider, and HSM-backed key storage.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Kafka · BigQuery · dbt · Airflow · Terraform · Kubernetes · GCP · microservices · payments</w:t>
      </w:r>
    </w:p>
    <w:p>
      <w:pPr>
        <w:keepNext/>
        <w:spacing w:after="20" w:before="80" w:line="269" w:lineRule="exact"/>
      </w:pPr>
      <w:r>
        <w:rPr>
          <w:rFonts w:ascii="Arial" w:cs="Arial" w:eastAsia="Arial" w:hAnsi="Arial"/>
          <w:b/>
          <w:bCs/>
          <w:color w:val="0B0D0F"/>
          <w:sz w:val="19"/>
          <w:szCs w:val="19"/>
        </w:rPr>
        <w:t xml:space="preserve">Sears IT and Management Services India — Architect</w:t>
      </w:r>
    </w:p>
    <w:p>
      <w:pPr>
        <w:keepNext/>
        <w:spacing w:after="60" w:before="0" w:line="230" w:lineRule="exact"/>
      </w:pPr>
      <w:r>
        <w:rPr>
          <w:rFonts w:ascii="Arial" w:cs="Arial" w:eastAsia="Arial" w:hAnsi="Arial"/>
          <w:i/>
          <w:iCs/>
          <w:color w:val="5A646C"/>
          <w:sz w:val="16"/>
          <w:szCs w:val="16"/>
        </w:rPr>
        <w:t xml:space="preserve">Joined as Technical Specialist · Feb 2018 – Sep 2021 · Pune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2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Cloud data platform and marketing technology for a US Fortune-500 retailer.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Built a customer email preference API on GCP App Engine, Pub/Sub, DataFlow and BigQuery serving millions of customers — reduced annual cost by $600,000.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Migrated enterprise DataMarts from Teradata to BigQuery on schedule.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Built an API management layer decoupling applications from cloud complexity across a multicloud estate — reused as the blueprint by other teams.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Replaced self-hosted tooling with cloud-native across five stacks: Teradata to BigQuery, Unix to Compute Engine, Control-M to Airflow, shell to Python, GitLab Enterprise to Cloud Source Repositories.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Led enterprise marketing-platform migration from IBM Unica to Adobe Campaign, coordinating external vendors and internal engineering.</w:t>
      </w:r>
    </w:p>
    <w:p>
      <w:pPr>
        <w:keepNext/>
        <w:spacing w:after="20" w:before="80" w:line="269" w:lineRule="exact"/>
      </w:pPr>
      <w:r>
        <w:rPr>
          <w:rFonts w:ascii="Arial" w:cs="Arial" w:eastAsia="Arial" w:hAnsi="Arial"/>
          <w:b/>
          <w:bCs/>
          <w:color w:val="0B0D0F"/>
          <w:sz w:val="19"/>
          <w:szCs w:val="19"/>
        </w:rPr>
        <w:t xml:space="preserve">Cognizant Technology Solutions — Senior Associate, Projects</w:t>
      </w:r>
    </w:p>
    <w:p>
      <w:pPr>
        <w:keepNext/>
        <w:spacing w:after="60" w:before="0" w:line="230" w:lineRule="exact"/>
      </w:pPr>
      <w:r>
        <w:rPr>
          <w:rFonts w:ascii="Arial" w:cs="Arial" w:eastAsia="Arial" w:hAnsi="Arial"/>
          <w:i/>
          <w:iCs/>
          <w:color w:val="5A646C"/>
          <w:sz w:val="16"/>
          <w:szCs w:val="16"/>
        </w:rPr>
        <w:t xml:space="preserve">Nov 2010 – Feb 2018 · Pune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2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Enterprise data warehousing for a Gulf national telecom operator (onsite delivery lead, 2015–2018) and a global bank's emerging markets (2010–2015).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Led data modelling for a national telecom enterprise data warehouse spanning customers, accounts, subscriptions, offers and products.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Built an automation tool propagating schema changes through every Teradata utility script and Ab-Initio object automatically, removing a large manual change surface.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Ran a big-data POC on Apache Hive and HDFS for call-detail-record ingestion.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Unified banking data across multiple African countries into a single source of truth, letting one DataMart span new countries without rework.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Designed logical and physical data models; built reusable code-generation, deployment and scheduling automation for the team.</w:t>
      </w:r>
    </w:p>
    <w:p>
      <w:pPr>
        <w:keepNext/>
        <w:spacing w:after="20" w:before="80" w:line="269" w:lineRule="exact"/>
      </w:pPr>
      <w:r>
        <w:rPr>
          <w:rFonts w:ascii="Arial" w:cs="Arial" w:eastAsia="Arial" w:hAnsi="Arial"/>
          <w:b/>
          <w:bCs/>
          <w:color w:val="0B0D0F"/>
          <w:sz w:val="19"/>
          <w:szCs w:val="19"/>
        </w:rPr>
        <w:t xml:space="preserve">Mahindra Satyam — Software Developer, S2</w:t>
      </w:r>
    </w:p>
    <w:p>
      <w:pPr>
        <w:keepNext/>
        <w:spacing w:after="60" w:before="0" w:line="230" w:lineRule="exact"/>
      </w:pPr>
      <w:r>
        <w:rPr>
          <w:rFonts w:ascii="Arial" w:cs="Arial" w:eastAsia="Arial" w:hAnsi="Arial"/>
          <w:i/>
          <w:iCs/>
          <w:color w:val="5A646C"/>
          <w:sz w:val="16"/>
          <w:szCs w:val="16"/>
        </w:rPr>
        <w:t xml:space="preserve">Jan 2008 – Nov 2010 · Hyderabad / Bangalore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2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ETL and data warehousing for an Australian telecom operator.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Developed DataStage jobs, Teradata utility scripts and Perl/Unix tooling for a retail customer warehouse handling registrations, demographics, segmentation and billed and unbilled call records.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Built Informatica mappings and workflows migrating Oracle data to Teradata.</w:t>
      </w:r>
    </w:p>
    <w:p>
      <w:pPr>
        <w:keepNext/>
        <w:pBdr>
          <w:bottom w:val="single" w:color="0B5C4D" w:sz="6" w:space="2"/>
        </w:pBdr>
        <w:spacing w:after="60" w:before="160" w:line="230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6"/>
          <w:szCs w:val="16"/>
        </w:rPr>
        <w:t xml:space="preserve">PROJECTS</w:t>
      </w:r>
    </w:p>
    <w:p>
      <w:pPr>
        <w:keepNext/>
        <w:spacing w:after="60" w:before="0" w:line="230" w:lineRule="exact"/>
      </w:pPr>
      <w:r>
        <w:rPr>
          <w:rFonts w:ascii="Arial" w:cs="Arial" w:eastAsia="Arial" w:hAnsi="Arial"/>
          <w:i/>
          <w:iCs/>
          <w:color w:val="5A646C"/>
          <w:sz w:val="16"/>
          <w:szCs w:val="16"/>
        </w:rPr>
        <w:t xml:space="preserve">Profile → Projects · </w:t>
      </w:r>
      <w:r>
        <w:rPr>
          <w:rFonts w:ascii="Arial" w:cs="Arial" w:eastAsia="Arial" w:hAnsi="Arial"/>
          <w:b/>
          <w:bCs/>
          <w:color w:val="0B5C4D"/>
          <w:sz w:val="16"/>
          <w:szCs w:val="16"/>
        </w:rPr>
        <w:t xml:space="preserve">currently empty, and the biggest gap on the page</w:t>
      </w:r>
      <w:r>
        <w:rPr>
          <w:rFonts w:ascii="Arial" w:cs="Arial" w:eastAsia="Arial" w:hAnsi="Arial"/>
          <w:i/>
          <w:iCs/>
          <w:color w:val="5A646C"/>
          <w:sz w:val="16"/>
          <w:szCs w:val="16"/>
        </w:rPr>
        <w:t xml:space="preserve"> · add the repo link to each, and pin the same four as Featured</w:t>
      </w:r>
    </w:p>
    <w:p>
      <w:pPr>
        <w:keepNext/>
        <w:spacing w:after="20" w:before="100" w:line="269" w:lineRule="exact"/>
      </w:pPr>
      <w:r>
        <w:rPr>
          <w:rFonts w:ascii="Arial" w:cs="Arial" w:eastAsia="Arial" w:hAnsi="Arial"/>
          <w:b/>
          <w:bCs/>
          <w:color w:val="0B0D0F"/>
          <w:sz w:val="19"/>
          <w:szCs w:val="19"/>
        </w:rPr>
        <w:t xml:space="preserve">hoocode</w:t>
      </w:r>
    </w:p>
    <w:p>
      <w:pPr>
        <w:keepNext/>
        <w:spacing w:after="60" w:before="0" w:line="230" w:lineRule="exact"/>
      </w:pPr>
      <w:r>
        <w:rPr>
          <w:rFonts w:ascii="Arial" w:cs="Arial" w:eastAsia="Arial" w:hAnsi="Arial"/>
          <w:i/>
          <w:iCs/>
          <w:color w:val="5A646C"/>
          <w:sz w:val="16"/>
          <w:szCs w:val="16"/>
        </w:rPr>
        <w:t xml:space="preserve">github.com/kolisachint/hoocode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2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Deterministic terminal coding agent, published to npm. A permission gate on every edit and shell command, four scoped modes, MCP servers and subagents. Four packages including a unified LLM API across 25+ providers and a TUI library with differential rendering. TypeScript.</w:t>
      </w:r>
    </w:p>
    <w:p>
      <w:pPr>
        <w:keepNext/>
        <w:spacing w:after="20" w:before="80" w:line="269" w:lineRule="exact"/>
      </w:pPr>
      <w:r>
        <w:rPr>
          <w:rFonts w:ascii="Arial" w:cs="Arial" w:eastAsia="Arial" w:hAnsi="Arial"/>
          <w:b/>
          <w:bCs/>
          <w:color w:val="0B0D0F"/>
          <w:sz w:val="19"/>
          <w:szCs w:val="19"/>
        </w:rPr>
        <w:t xml:space="preserve">embeddingsearchtools</w:t>
      </w:r>
    </w:p>
    <w:p>
      <w:pPr>
        <w:keepNext/>
        <w:spacing w:after="60" w:before="0" w:line="230" w:lineRule="exact"/>
      </w:pPr>
      <w:r>
        <w:rPr>
          <w:rFonts w:ascii="Arial" w:cs="Arial" w:eastAsia="Arial" w:hAnsi="Arial"/>
          <w:i/>
          <w:iCs/>
          <w:color w:val="5A646C"/>
          <w:sz w:val="16"/>
          <w:szCs w:val="16"/>
        </w:rPr>
        <w:t xml:space="preserve">github.com/kolisachint/embeddingsearchtools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2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Embedding search engine in Rust. MiniLM via ONNX Runtime with int8 weights bundled into the binary; exact and HNSW approximate-nearest-neighbour indexes written from scratch; BM25 lexical fusion for hybrid retrieval; library API, CLI and long-lived daemon.</w:t>
      </w:r>
    </w:p>
    <w:p>
      <w:pPr>
        <w:keepNext/>
        <w:spacing w:after="20" w:before="80" w:line="269" w:lineRule="exact"/>
      </w:pPr>
      <w:r>
        <w:rPr>
          <w:rFonts w:ascii="Arial" w:cs="Arial" w:eastAsia="Arial" w:hAnsi="Arial"/>
          <w:b/>
          <w:bCs/>
          <w:color w:val="0B0D0F"/>
          <w:sz w:val="19"/>
          <w:szCs w:val="19"/>
        </w:rPr>
        <w:t xml:space="preserve">voicetools</w:t>
      </w:r>
    </w:p>
    <w:p>
      <w:pPr>
        <w:keepNext/>
        <w:spacing w:after="60" w:before="0" w:line="230" w:lineRule="exact"/>
      </w:pPr>
      <w:r>
        <w:rPr>
          <w:rFonts w:ascii="Arial" w:cs="Arial" w:eastAsia="Arial" w:hAnsi="Arial"/>
          <w:i/>
          <w:iCs/>
          <w:color w:val="5A646C"/>
          <w:sz w:val="16"/>
          <w:szCs w:val="16"/>
        </w:rPr>
        <w:t xml:space="preserve">github.com/kolisachint/voicetools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2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Offline speech-to-text for the terminal, in Rust. Microphone capture through voice-activity detection into Parakeet-TDT on ONNX Runtime, 25 languages, with a whisper.cpp fallback.</w:t>
      </w:r>
    </w:p>
    <w:p>
      <w:pPr>
        <w:keepNext/>
        <w:spacing w:after="20" w:before="80" w:line="269" w:lineRule="exact"/>
      </w:pPr>
      <w:r>
        <w:rPr>
          <w:rFonts w:ascii="Arial" w:cs="Arial" w:eastAsia="Arial" w:hAnsi="Arial"/>
          <w:b/>
          <w:bCs/>
          <w:color w:val="0B0D0F"/>
          <w:sz w:val="19"/>
          <w:szCs w:val="19"/>
        </w:rPr>
        <w:t xml:space="preserve">webtools</w:t>
      </w:r>
    </w:p>
    <w:p>
      <w:pPr>
        <w:keepNext/>
        <w:spacing w:after="60" w:before="0" w:line="230" w:lineRule="exact"/>
      </w:pPr>
      <w:r>
        <w:rPr>
          <w:rFonts w:ascii="Arial" w:cs="Arial" w:eastAsia="Arial" w:hAnsi="Arial"/>
          <w:i/>
          <w:iCs/>
          <w:color w:val="5A646C"/>
          <w:sz w:val="16"/>
          <w:szCs w:val="16"/>
        </w:rPr>
        <w:t xml:space="preserve">github.com/kolisachint/webtools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2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Token-efficient web fetch and search for LLM agents, in Rust. Reference-style URL preservation collapses links to single-token markers under a total token budget.</w:t>
      </w:r>
    </w:p>
    <w:p>
      <w:pPr>
        <w:keepNext/>
        <w:pBdr>
          <w:bottom w:val="single" w:color="0B5C4D" w:sz="6" w:space="2"/>
        </w:pBdr>
        <w:spacing w:after="60" w:before="160" w:line="230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6"/>
          <w:szCs w:val="16"/>
        </w:rPr>
        <w:t xml:space="preserve">SKILLS</w:t>
      </w:r>
    </w:p>
    <w:p>
      <w:pPr>
        <w:keepNext/>
        <w:spacing w:after="60" w:before="0" w:line="230" w:lineRule="exact"/>
      </w:pPr>
      <w:r>
        <w:rPr>
          <w:rFonts w:ascii="Arial" w:cs="Arial" w:eastAsia="Arial" w:hAnsi="Arial"/>
          <w:i/>
          <w:iCs/>
          <w:color w:val="5A646C"/>
          <w:sz w:val="16"/>
          <w:szCs w:val="16"/>
        </w:rPr>
        <w:t xml:space="preserve">Profile → Skills · order matters — LinkedIn shows the top three, and endorsements follow that order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3039"/>
        <w:gridCol w:w="400"/>
        <w:gridCol w:w="3039"/>
        <w:gridCol w:w="400"/>
        <w:gridCol w:w="3039"/>
      </w:tblGrid>
      <w:tr>
        <w:trPr>
          <w:cantSplit/>
        </w:trPr>
        <w:tc>
          <w:tcPr>
            <w:tcW w:type="dxa" w:w="40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b/>
                <w:bCs/>
                <w:color w:val="9AA4AB"/>
                <w:sz w:val="18"/>
                <w:szCs w:val="18"/>
              </w:rPr>
              <w:t xml:space="preserve">1</w:t>
            </w:r>
          </w:p>
        </w:tc>
        <w:tc>
          <w:tcPr>
            <w:tcW w:type="dxa" w:w="3039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Data Architecture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b/>
                <w:bCs/>
                <w:color w:val="9AA4AB"/>
                <w:sz w:val="18"/>
                <w:szCs w:val="18"/>
              </w:rPr>
              <w:t xml:space="preserve">6</w:t>
            </w:r>
          </w:p>
        </w:tc>
        <w:tc>
          <w:tcPr>
            <w:tcW w:type="dxa" w:w="3039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Apache Airflow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b/>
                <w:bCs/>
                <w:color w:val="9AA4AB"/>
                <w:sz w:val="18"/>
                <w:szCs w:val="18"/>
              </w:rPr>
              <w:t xml:space="preserve">11</w:t>
            </w:r>
          </w:p>
        </w:tc>
        <w:tc>
          <w:tcPr>
            <w:tcW w:type="dxa" w:w="3039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Rust</w:t>
            </w:r>
          </w:p>
        </w:tc>
      </w:tr>
      <w:tr>
        <w:trPr>
          <w:cantSplit/>
        </w:trPr>
        <w:tc>
          <w:tcPr>
            <w:tcW w:type="dxa" w:w="40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b/>
                <w:bCs/>
                <w:color w:val="9AA4AB"/>
                <w:sz w:val="18"/>
                <w:szCs w:val="18"/>
              </w:rPr>
              <w:t xml:space="preserve">2</w:t>
            </w:r>
          </w:p>
        </w:tc>
        <w:tc>
          <w:tcPr>
            <w:tcW w:type="dxa" w:w="3039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Google Cloud Platform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b/>
                <w:bCs/>
                <w:color w:val="9AA4AB"/>
                <w:sz w:val="18"/>
                <w:szCs w:val="18"/>
              </w:rPr>
              <w:t xml:space="preserve">7</w:t>
            </w:r>
          </w:p>
        </w:tc>
        <w:tc>
          <w:tcPr>
            <w:tcW w:type="dxa" w:w="3039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dbt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b/>
                <w:bCs/>
                <w:color w:val="9AA4AB"/>
                <w:sz w:val="18"/>
                <w:szCs w:val="18"/>
              </w:rPr>
              <w:t xml:space="preserve">12</w:t>
            </w:r>
          </w:p>
        </w:tc>
        <w:tc>
          <w:tcPr>
            <w:tcW w:type="dxa" w:w="3039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Solution Architecture</w:t>
            </w:r>
          </w:p>
        </w:tc>
      </w:tr>
      <w:tr>
        <w:trPr>
          <w:cantSplit/>
        </w:trPr>
        <w:tc>
          <w:tcPr>
            <w:tcW w:type="dxa" w:w="40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b/>
                <w:bCs/>
                <w:color w:val="9AA4AB"/>
                <w:sz w:val="18"/>
                <w:szCs w:val="18"/>
              </w:rPr>
              <w:t xml:space="preserve">3</w:t>
            </w:r>
          </w:p>
        </w:tc>
        <w:tc>
          <w:tcPr>
            <w:tcW w:type="dxa" w:w="3039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Apache Kafka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b/>
                <w:bCs/>
                <w:color w:val="9AA4AB"/>
                <w:sz w:val="18"/>
                <w:szCs w:val="18"/>
              </w:rPr>
              <w:t xml:space="preserve">8</w:t>
            </w:r>
          </w:p>
        </w:tc>
        <w:tc>
          <w:tcPr>
            <w:tcW w:type="dxa" w:w="3039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Terraform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b/>
                <w:bCs/>
                <w:color w:val="9AA4AB"/>
                <w:sz w:val="18"/>
                <w:szCs w:val="18"/>
              </w:rPr>
              <w:t xml:space="preserve">13</w:t>
            </w:r>
          </w:p>
        </w:tc>
        <w:tc>
          <w:tcPr>
            <w:tcW w:type="dxa" w:w="3039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Data Engineering</w:t>
            </w:r>
          </w:p>
        </w:tc>
      </w:tr>
      <w:tr>
        <w:trPr>
          <w:cantSplit/>
        </w:trPr>
        <w:tc>
          <w:tcPr>
            <w:tcW w:type="dxa" w:w="40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b/>
                <w:bCs/>
                <w:color w:val="9AA4AB"/>
                <w:sz w:val="18"/>
                <w:szCs w:val="18"/>
              </w:rPr>
              <w:t xml:space="preserve">4</w:t>
            </w:r>
          </w:p>
        </w:tc>
        <w:tc>
          <w:tcPr>
            <w:tcW w:type="dxa" w:w="3039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BigQuery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b/>
                <w:bCs/>
                <w:color w:val="9AA4AB"/>
                <w:sz w:val="18"/>
                <w:szCs w:val="18"/>
              </w:rPr>
              <w:t xml:space="preserve">9</w:t>
            </w:r>
          </w:p>
        </w:tc>
        <w:tc>
          <w:tcPr>
            <w:tcW w:type="dxa" w:w="3039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Python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b/>
                <w:bCs/>
                <w:color w:val="9AA4AB"/>
                <w:sz w:val="18"/>
                <w:szCs w:val="18"/>
              </w:rPr>
              <w:t xml:space="preserve">14</w:t>
            </w:r>
          </w:p>
        </w:tc>
        <w:tc>
          <w:tcPr>
            <w:tcW w:type="dxa" w:w="3039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Vector Databases</w:t>
            </w:r>
          </w:p>
        </w:tc>
      </w:tr>
      <w:tr>
        <w:trPr>
          <w:cantSplit/>
        </w:trPr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b/>
                <w:bCs/>
                <w:color w:val="9AA4AB"/>
                <w:sz w:val="18"/>
                <w:szCs w:val="18"/>
              </w:rPr>
              <w:t xml:space="preserve">5</w:t>
            </w:r>
          </w:p>
        </w:tc>
        <w:tc>
          <w:tcPr>
            <w:tcW w:type="dxa" w:w="30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Real-Time Data Streaming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b/>
                <w:bCs/>
                <w:color w:val="9AA4AB"/>
                <w:sz w:val="18"/>
                <w:szCs w:val="18"/>
              </w:rPr>
              <w:t xml:space="preserve">10</w:t>
            </w:r>
          </w:p>
        </w:tc>
        <w:tc>
          <w:tcPr>
            <w:tcW w:type="dxa" w:w="30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Large Language Models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b/>
                <w:bCs/>
                <w:color w:val="9AA4AB"/>
                <w:sz w:val="18"/>
                <w:szCs w:val="18"/>
              </w:rPr>
              <w:t xml:space="preserve">15</w:t>
            </w:r>
          </w:p>
        </w:tc>
        <w:tc>
          <w:tcPr>
            <w:tcW w:type="dxa" w:w="30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Retrieval-Augmented Generation</w:t>
            </w:r>
          </w:p>
        </w:tc>
      </w:tr>
    </w:tbl>
    <w:p>
      <w:pPr>
        <w:keepNext/>
        <w:pBdr>
          <w:bottom w:val="single" w:color="0B5C4D" w:sz="6" w:space="2"/>
        </w:pBdr>
        <w:spacing w:after="60" w:before="240" w:line="230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6"/>
          <w:szCs w:val="16"/>
        </w:rPr>
        <w:t xml:space="preserve">EDUCATION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2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Walchand College of Engineering, Sangli — BE, Computer Science and Engineering, 2003–2007</w:t>
      </w:r>
    </w:p>
    <w:p>
      <w:pPr>
        <w:keepNext/>
        <w:pBdr>
          <w:bottom w:val="single" w:color="0B5C4D" w:sz="6" w:space="2"/>
        </w:pBdr>
        <w:spacing w:after="60" w:before="160" w:line="230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6"/>
          <w:szCs w:val="16"/>
        </w:rPr>
        <w:t xml:space="preserve">LICENSES AND CERTIFICATIONS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2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Professional Data Engineer — Google Cloud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Data Engineering, Big Data and Machine Learning on GCP — Coursera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Teradata Basics V2R5 — Teradata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Teradata SQL V2R5 — Teradata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Introduction to Oracle9i: SQL — Oracle</w:t>
      </w:r>
    </w:p>
    <w:p>
      <w:pPr>
        <w:spacing w:after="0" w:before="0" w:line="235" w:lineRule="exact"/>
      </w:pPr>
      <w:r>
        <w:rPr>
          <w:rFonts w:ascii="Arial" w:cs="Arial" w:eastAsia="Arial" w:hAnsi="Arial"/>
          <w:color w:val="5A646C"/>
          <w:sz w:val="17"/>
          <w:szCs w:val="17"/>
        </w:rPr>
        <w:t xml:space="preserve">Add the </w:t>
      </w:r>
      <w:r>
        <w:rPr>
          <w:rFonts w:ascii="Arial" w:cs="Arial" w:eastAsia="Arial" w:hAnsi="Arial"/>
          <w:b/>
          <w:bCs/>
          <w:color w:val="1A1D21"/>
          <w:sz w:val="17"/>
          <w:szCs w:val="17"/>
        </w:rPr>
        <w:t xml:space="preserve">credential ID and the Credly badge link</w:t>
      </w:r>
      <w:r>
        <w:rPr>
          <w:rFonts w:ascii="Arial" w:cs="Arial" w:eastAsia="Arial" w:hAnsi="Arial"/>
          <w:color w:val="5A646C"/>
          <w:sz w:val="17"/>
          <w:szCs w:val="17"/>
        </w:rPr>
        <w:t xml:space="preserve"> to the PDE entry. LinkedIn renders verified badges, and recruiters filter on them.</w:t>
      </w:r>
    </w:p>
    <w:p>
      <w:pPr>
        <w:keepNext/>
        <w:pBdr>
          <w:bottom w:val="single" w:color="0B5C4D" w:sz="6" w:space="2"/>
        </w:pBdr>
        <w:spacing w:after="60" w:before="240" w:line="230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6"/>
          <w:szCs w:val="16"/>
        </w:rPr>
        <w:t xml:space="preserve">HONORS AND AWARDS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2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Banking Tech Awards 2024 — award-winning self-serve fraud journey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Card &amp; Payments Awards 2025 — award-winning self-serve fraud journey</w:t>
      </w:r>
    </w:p>
    <w:p>
      <w:pPr>
        <w:spacing w:after="0" w:before="0" w:line="235" w:lineRule="exact"/>
      </w:pPr>
      <w:r>
        <w:rPr>
          <w:rFonts w:ascii="Arial" w:cs="Arial" w:eastAsia="Arial" w:hAnsi="Arial"/>
          <w:color w:val="5A646C"/>
          <w:sz w:val="17"/>
          <w:szCs w:val="17"/>
        </w:rPr>
        <w:t xml:space="preserve">Two industry awards sitting silently in this section do almost nothing. </w:t>
      </w:r>
      <w:r>
        <w:rPr>
          <w:rFonts w:ascii="Arial" w:cs="Arial" w:eastAsia="Arial" w:hAnsi="Arial"/>
          <w:b/>
          <w:bCs/>
          <w:color w:val="1A1D21"/>
          <w:sz w:val="17"/>
          <w:szCs w:val="17"/>
        </w:rPr>
        <w:t xml:space="preserve">One short post about what actually changed for customers</w:t>
      </w:r>
      <w:r>
        <w:rPr>
          <w:rFonts w:ascii="Arial" w:cs="Arial" w:eastAsia="Arial" w:hAnsi="Arial"/>
          <w:color w:val="5A646C"/>
          <w:sz w:val="17"/>
          <w:szCs w:val="17"/>
        </w:rPr>
        <w:t xml:space="preserve"> will out-reach everything else on the profile.</w:t>
      </w:r>
    </w:p>
    <w:sectPr>
      <w:pgSz w:w="11906" w:h="16838" w:orient="portrait"/>
      <w:pgMar w:top="737" w:right="794" w:bottom="737" w:left="79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20" w:hanging="1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D21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Sachin Koli — LinkedIn paste sheet</dc:title>
  <dc:creator>Sachin Koli</dc:creator>
  <cp:lastModifiedBy>Un-named</cp:lastModifiedBy>
  <cp:revision>1</cp:revision>
  <dcterms:created xsi:type="dcterms:W3CDTF">2026-09-04T03:55:01.453Z</dcterms:created>
  <dcterms:modified xsi:type="dcterms:W3CDTF">2026-09-04T03:55:01.453Z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