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68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38"/>
        <w:gridCol w:w="11013"/>
        <w:gridCol w:w="3387"/>
      </w:tblGrid>
      <w:tr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567"/>
              <w:bottom w:type="dxa" w:w="340"/>
              <w:right w:type="dxa" w:w="397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933450" cy="1095375"/>
                  <wp:effectExtent t="22860" r="22860" b="22860" l="2286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095375"/>
                          </a:xfrm>
                          <a:prstGeom prst="rect">
                            <a:avLst/>
                          </a:prstGeom>
                          <a:noFill/>
                          <a:ln w="11430">
                            <a:solidFill>
                              <a:srgbClr val="14181D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013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397"/>
            </w:tcMar>
          </w:tcPr>
          <w:p>
            <w:pPr>
              <w:spacing w:after="0" w:before="0" w:line="513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pacing w:val="-16"/>
                <w:sz w:val="54"/>
                <w:szCs w:val="54"/>
              </w:rPr>
              <w:t xml:space="preserve">Sachin </w:t>
            </w:r>
            <w:r>
              <w:rPr>
                <w:rFonts w:ascii="Arial" w:cs="Arial" w:eastAsia="Arial" w:hAnsi="Arial"/>
                <w:b/>
                <w:bCs/>
                <w:color w:val="0A5245"/>
                <w:spacing w:val="-16"/>
                <w:sz w:val="54"/>
                <w:szCs w:val="54"/>
              </w:rPr>
              <w:t xml:space="preserve">Koli</w:t>
            </w:r>
          </w:p>
          <w:p>
            <w:pPr>
              <w:spacing w:after="0" w:before="85" w:line="312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2"/>
                <w:szCs w:val="22"/>
              </w:rPr>
              <w:t xml:space="preserve">Solution Architect — Cloud Data &amp; AI Platforms</w:t>
            </w:r>
          </w:p>
          <w:p>
            <w:pPr>
              <w:spacing w:after="0" w:before="68" w:line="210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Google Cloud Certified — Professional Data Engineer</w:t>
            </w: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· Cloud Architect in progress</w:t>
            </w:r>
          </w:p>
        </w:tc>
        <w:tc>
          <w:tcPr>
            <w:tcW w:type="dxa" w:w="3387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567"/>
            </w:tcMar>
          </w:tcPr>
          <w:p>
            <w:pPr>
              <w:spacing w:after="0" w:before="0" w:line="252" w:lineRule="exact"/>
              <w:jc w:val="right"/>
            </w:pP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Pune, India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+91 95522 36200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kolisachint@gmail.com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linkedin.com/in/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github.com/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 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10"/>
        <w:gridCol w:w="4210"/>
        <w:gridCol w:w="4210"/>
        <w:gridCol w:w="4210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18 yrs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Enterprise data &amp; cloud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Banking · Retail · Telecom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$600K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Annual cost removed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Preference Center API on GCP, Sears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2024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Banking Tech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none" w:color="FFFFFF" w:sz="0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2025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Card &amp; Payments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87"/>
        <w:gridCol w:w="5887"/>
        <w:gridCol w:w="5063"/>
      </w:tblGrid>
      <w:tr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295"/>
              <w:left w:type="dxa" w:w="369"/>
              <w:bottom w:type="dxa" w:w="295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WHAT I BUILD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Cloud Data Platform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2025 —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Moving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UK tier-1 retail bank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off its enterprise data warehouse onto a GCP-native platform against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2026 deadline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.</w:t>
            </w:r>
          </w:p>
          <w:p>
            <w:pPr>
              <w:spacing w:after="193" w:before="68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Kafka · Pub/Sub · GKE · Airflow · dbt · BigQuery · Terraform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Card Platform on GCP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2024 — 2025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Owned the design migrating the bank's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whole card-journey estate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— controls, limits, freeze, wallets, view card and PIN — onto GCP microservices behind an API gateway.</w:t>
            </w:r>
          </w:p>
          <w:p>
            <w:pPr>
              <w:spacing w:after="193" w:before="68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Apigee X · microservices · ID &amp; Auth · scheme connectivity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Wallets &amp; Click to Pay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2021 — 2024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Put four card brands into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Apple Pay, Google Pay and Click to Pay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, with the token security under them — and the award-winning fraud journey.</w:t>
            </w:r>
          </w:p>
          <w:p>
            <w:pPr>
              <w:spacing w:after="193" w:before="68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payment tokens · PGP key exchange · HashiCorp Vault · PCI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Applied AI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open source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 published agent ecosystem: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terminal coding agent on npm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, and the Rust beneath it — embedding search, offline ASR, web retrieval.</w:t>
            </w:r>
          </w:p>
          <w:p>
            <w:pPr>
              <w:spacing w:after="193" w:before="68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Rust · TypeScript · ONNX · HNSW · BM25 · MCP</w:t>
            </w:r>
          </w:p>
        </w:tc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295"/>
              <w:left w:type="dxa" w:w="369"/>
              <w:bottom w:type="dxa" w:w="295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SHIPPED, IN PUBLIC · GITHUB.COM/KOLISACHINT</w:t>
            </w:r>
          </w:p>
          <w:p>
            <w:pPr>
              <w:tabs>
                <w:tab w:val="right" w:pos="5149"/>
              </w:tabs>
              <w:spacing w:after="0" w:before="2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hoocode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TypeScript · npm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Deterministic terminal coding agent. Permission gate on every edit and command; four scoped modes; MCP servers and subagents. Four packages, including a unified LLM API across 25+ providers.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embeddingsearchtools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Embedding search engine. MiniLM via ONNX Runtime, int8 weights bundled into the binary; exact and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HNSW approximate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indexes; BM25 lexical fusion for hybrid retrieval; mmap store, CLI and daemon.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voicetools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Offline speech-to-text. Microphone capture through voice-activity detection into Parakeet-TDT on ONNX Runtime, 25 languages, Whisper fallback.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webtools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193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Token-efficient fetch and search for LLM agents. Reference-style URL preservation turns links into single-token markers under a token budget.</w:t>
            </w:r>
          </w:p>
        </w:tc>
        <w:tc>
          <w:tcPr>
            <w:tcW w:type="dxa" w:w="5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5"/>
              <w:left w:type="dxa" w:w="369"/>
              <w:bottom w:type="dxa" w:w="295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CLIENTS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350"/>
              <w:gridCol w:w="2975"/>
            </w:tblGrid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Lloyds Banking Group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Retail US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Holdings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SAU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Saudi Telecom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Barclays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Telstra</w:t>
                  </w:r>
                </w:p>
              </w:tc>
            </w:tr>
          </w:tbl>
          <w:p>
            <w:pPr>
              <w:pBdr>
                <w:bottom w:val="single" w:color="0A5245" w:sz="7" w:space="4"/>
              </w:pBdr>
              <w:spacing w:after="170" w:before="255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TRACK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70"/>
              <w:gridCol w:w="3355"/>
            </w:tblGrid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2021—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Tata Consultancy Services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Solution 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2018—21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India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2010—18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Cognizant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Sr. Associate — Projects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2008—10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Mahindra Satyam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Software Developer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2003—07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BE Computer Science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Walchand COE, Sangli</w:t>
                  </w:r>
                </w:p>
              </w:tc>
            </w:tr>
          </w:tbl>
          <w:p/>
        </w:tc>
      </w:tr>
    </w:tbl>
    <w:p>
      <w:pPr>
        <w:pBdr>
          <w:top w:val="single" w:color="D2D7D1" w:sz="7" w:space="7"/>
        </w:pBdr>
        <w:tabs>
          <w:tab w:val="right" w:pos="16838"/>
        </w:tabs>
        <w:spacing w:after="170" w:before="0" w:line="173" w:lineRule="exact"/>
        <w:ind w:left="567" w:right="567"/>
      </w:pPr>
      <w:r>
        <w:rPr>
          <w:rFonts w:ascii="Consolas" w:cs="Consolas" w:eastAsia="Consolas" w:hAnsi="Consolas"/>
          <w:color w:val="6C7571"/>
          <w:sz w:val="12"/>
          <w:szCs w:val="12"/>
        </w:rPr>
        <w:t xml:space="preserve">Sachin Koli — Solution Architect, Cloud Data &amp; AI Platforms</w:t>
      </w:r>
      <w:r>
        <w:t xml:space="preserve">	</w:t>
      </w:r>
      <w:r>
        <w:rPr>
          <w:rFonts w:ascii="Consolas" w:cs="Consolas" w:eastAsia="Consolas" w:hAnsi="Consolas"/>
          <w:color w:val="6C7571"/>
          <w:sz w:val="12"/>
          <w:szCs w:val="12"/>
        </w:rPr>
        <w:t xml:space="preserve">github.com/kolisachint</w:t>
      </w:r>
    </w:p>
    <w:sectPr>
      <w:pgSz w:w="16838" w:h="11906" w:orient="landscape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8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7f57ca1ca1693b4d44d27a7409bab020e50b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Profile</dc:title>
  <dc:creator>Sachin Koli</dc:creator>
  <cp:lastModifiedBy>Un-named</cp:lastModifiedBy>
  <cp:revision>1</cp:revision>
  <dcterms:created xsi:type="dcterms:W3CDTF">2026-09-04T03:55:01.409Z</dcterms:created>
  <dcterms:modified xsi:type="dcterms:W3CDTF">2026-09-04T03:55:01.409Z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