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b/>
          <w:bCs/>
          <w:color w:val="000000"/>
          <w:sz w:val="28"/>
          <w:szCs w:val="28"/>
        </w:rPr>
        <w:t xml:space="preserve">SACHIN KOLI</w:t>
      </w:r>
    </w:p>
    <w:p>
      <w:pPr>
        <w:spacing w:after="0" w:before="0"/>
      </w:pPr>
      <w:r>
        <w:rPr>
          <w:rFonts w:ascii="Calibri" w:cs="Calibri" w:eastAsia="Calibri" w:hAnsi="Calibri"/>
          <w:color w:val="000000"/>
          <w:sz w:val="20"/>
          <w:szCs w:val="20"/>
        </w:rPr>
        <w:t xml:space="preserve">Pune, Maharashtra, India</w:t>
      </w:r>
    </w:p>
    <w:p>
      <w:pPr>
        <w:spacing w:after="0" w:before="0"/>
      </w:pPr>
      <w:r>
        <w:rPr>
          <w:rFonts w:ascii="Calibri" w:cs="Calibri" w:eastAsia="Calibri" w:hAnsi="Calibri"/>
          <w:color w:val="000000"/>
          <w:sz w:val="20"/>
          <w:szCs w:val="20"/>
        </w:rPr>
        <w:t xml:space="preserve">+91 9552236200</w:t>
      </w:r>
    </w:p>
    <w:p>
      <w:pPr>
        <w:spacing w:after="0" w:before="0"/>
      </w:pPr>
      <w:r>
        <w:rPr>
          <w:rFonts w:ascii="Calibri" w:cs="Calibri" w:eastAsia="Calibri" w:hAnsi="Calibri"/>
          <w:color w:val="000000"/>
          <w:sz w:val="20"/>
          <w:szCs w:val="20"/>
        </w:rPr>
        <w:t xml:space="preserve">kolisachint@gmail.com</w:t>
      </w:r>
    </w:p>
    <w:p>
      <w:pPr>
        <w:spacing w:after="0" w:before="0"/>
      </w:pPr>
      <w:r>
        <w:rPr>
          <w:rFonts w:ascii="Calibri" w:cs="Calibri" w:eastAsia="Calibri" w:hAnsi="Calibri"/>
          <w:color w:val="000000"/>
          <w:sz w:val="20"/>
          <w:szCs w:val="20"/>
        </w:rPr>
        <w:t xml:space="preserve">linkedin.com/in/kolisachint</w:t>
      </w:r>
    </w:p>
    <w:p>
      <w:pPr>
        <w:spacing w:after="0" w:before="0"/>
      </w:pPr>
      <w:r>
        <w:rPr>
          <w:rFonts w:ascii="Calibri" w:cs="Calibri" w:eastAsia="Calibri" w:hAnsi="Calibri"/>
          <w:color w:val="000000"/>
          <w:sz w:val="20"/>
          <w:szCs w:val="20"/>
        </w:rPr>
        <w:t xml:space="preserve">github.com/kolisachint</w:t>
      </w:r>
    </w:p>
    <w:p>
      <w:pPr>
        <w:spacing w:after="60" w:before="0"/>
      </w:pPr>
      <w:r>
        <w:rPr>
          <w:rFonts w:ascii="Calibri" w:cs="Calibri" w:eastAsia="Calibri" w:hAnsi="Calibri"/>
          <w:color w:val="000000"/>
          <w:sz w:val="20"/>
          <w:szCs w:val="20"/>
        </w:rPr>
        <w:t xml:space="preserve">kolisachint.github.io</w:t>
      </w:r>
    </w:p>
    <w:p>
      <w:pPr>
        <w:pStyle w:val="Heading1"/>
        <w:spacing w:after="100" w:before="180"/>
      </w:pPr>
      <w:r>
        <w:rPr>
          <w:rFonts w:ascii="Calibri" w:cs="Calibri" w:eastAsia="Calibri" w:hAnsi="Calibri"/>
          <w:b/>
          <w:bCs/>
          <w:color w:val="000000"/>
          <w:sz w:val="24"/>
          <w:szCs w:val="24"/>
        </w:rPr>
        <w:t xml:space="preserve">SUMMARY</w:t>
      </w:r>
    </w:p>
    <w:p>
      <w:pPr>
        <w:spacing w:after="0" w:before="0"/>
      </w:pPr>
      <w:r>
        <w:rPr>
          <w:rFonts w:ascii="Calibri" w:cs="Calibri" w:eastAsia="Calibri" w:hAnsi="Calibri"/>
          <w:color w:val="000000"/>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Five years at that bank across three platforms: digital wallets and Click to Pay, the migration of its entire card journey estate to GCP microservices behind an Apigee X API gateway, and now the GCP-native operational data platform replacing its enterprise data warehouse. Expertise in data architecture, data modelling, real-time streaming ingestion, ELT and ETL pipeline design, infrastructure as code, data governance and cloud cost optimisation. Also ships open-source applied AI: an LLM coding agent published to npm and Rust libraries for vector embedding search, approximate nearest neighbour retrieval and speech recognition.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before="0"/>
      </w:pPr>
      <w:r>
        <w:rPr>
          <w:rFonts w:ascii="Calibri" w:cs="Calibri" w:eastAsia="Calibri" w:hAnsi="Calibri"/>
          <w:color w:val="000000"/>
          <w:sz w:val="20"/>
          <w:szCs w:val="20"/>
        </w:rPr>
        <w:t xml:space="preserve">Cloud Platforms: Google Cloud Platform (GCP), Amazon Web Services (AWS), multicloud architecture, hybrid cloud architecture</w:t>
      </w:r>
    </w:p>
    <w:p>
      <w:pPr>
        <w:spacing w:after="60" w:before="0"/>
      </w:pPr>
      <w:r>
        <w:rPr>
          <w:rFonts w:ascii="Calibri" w:cs="Calibri" w:eastAsia="Calibri" w:hAnsi="Calibri"/>
          <w:color w:val="000000"/>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before="0"/>
      </w:pPr>
      <w:r>
        <w:rPr>
          <w:rFonts w:ascii="Calibri" w:cs="Calibri" w:eastAsia="Calibri" w:hAnsi="Calibri"/>
          <w:color w:val="000000"/>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before="0"/>
      </w:pPr>
      <w:r>
        <w:rPr>
          <w:rFonts w:ascii="Calibri" w:cs="Calibri" w:eastAsia="Calibri" w:hAnsi="Calibri"/>
          <w:color w:val="000000"/>
          <w:sz w:val="20"/>
          <w:szCs w:val="20"/>
        </w:rPr>
        <w:t xml:space="preserve">Data Platform and Governance: operational data platform (ODP), foundational data products, data contracts, data mesh, architecture decision records (ADR), data lineage, data quality, data governance, authorised views, partitioning and clustering, delta load, FinOps, cost optimisation, Google Kubernetes Engine (GKE), Apigee X, HashiCorp Vault, Istio, Jenkins, VPC Service Controls</w:t>
      </w:r>
    </w:p>
    <w:p>
      <w:pPr>
        <w:spacing w:after="60" w:before="0"/>
      </w:pPr>
      <w:r>
        <w:rPr>
          <w:rFonts w:ascii="Calibri" w:cs="Calibri" w:eastAsia="Calibri" w:hAnsi="Calibri"/>
          <w:color w:val="000000"/>
          <w:sz w:val="20"/>
          <w:szCs w:val="20"/>
        </w:rPr>
        <w:t xml:space="preserve">Orchestration and Scheduling: Apache Airflow, Cloud Composer, IBM Tivoli Workload Scheduler (TWS), Control-M, dependency management, workflow automation</w:t>
      </w:r>
    </w:p>
    <w:p>
      <w:pPr>
        <w:spacing w:after="60" w:before="0"/>
      </w:pPr>
      <w:r>
        <w:rPr>
          <w:rFonts w:ascii="Calibri" w:cs="Calibri" w:eastAsia="Calibri" w:hAnsi="Calibri"/>
          <w:color w:val="000000"/>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before="0"/>
      </w:pPr>
      <w:r>
        <w:rPr>
          <w:rFonts w:ascii="Calibri" w:cs="Calibri" w:eastAsia="Calibri" w:hAnsi="Calibri"/>
          <w:color w:val="000000"/>
          <w:sz w:val="20"/>
          <w:szCs w:val="20"/>
        </w:rPr>
        <w:t xml:space="preserve">Infrastructure and DevOps: Terraform, infrastructure as code (IaC), CI/CD, Git, GitHub, containerisation, environment provisioning, deployment automation</w:t>
      </w:r>
    </w:p>
    <w:p>
      <w:pPr>
        <w:spacing w:after="60" w:before="0"/>
      </w:pPr>
      <w:r>
        <w:rPr>
          <w:rFonts w:ascii="Calibri" w:cs="Calibri" w:eastAsia="Calibri" w:hAnsi="Calibri"/>
          <w:color w:val="000000"/>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before="0"/>
      </w:pPr>
      <w:r>
        <w:rPr>
          <w:rFonts w:ascii="Calibri" w:cs="Calibri" w:eastAsia="Calibri" w:hAnsi="Calibri"/>
          <w:color w:val="000000"/>
          <w:sz w:val="20"/>
          <w:szCs w:val="20"/>
        </w:rPr>
        <w:t xml:space="preserve">Databases: BigQuery, Teradata, Oracle, Greenplum, SQL, BTEQ, FastLoad, MultiLoad, FastExport, TPump</w:t>
      </w:r>
    </w:p>
    <w:p>
      <w:pPr>
        <w:spacing w:after="60" w:before="0"/>
      </w:pPr>
      <w:r>
        <w:rPr>
          <w:rFonts w:ascii="Calibri" w:cs="Calibri" w:eastAsia="Calibri" w:hAnsi="Calibri"/>
          <w:color w:val="000000"/>
          <w:sz w:val="20"/>
          <w:szCs w:val="20"/>
        </w:rPr>
        <w:t xml:space="preserve">Business Intelligence: Tableau, Looker Studio, Google Data Studio, Cognos, reporting, data visualisation, analytics</w:t>
      </w:r>
    </w:p>
    <w:p>
      <w:pPr>
        <w:spacing w:after="60" w:before="0"/>
      </w:pPr>
      <w:r>
        <w:rPr>
          <w:rFonts w:ascii="Calibri" w:cs="Calibri" w:eastAsia="Calibri" w:hAnsi="Calibri"/>
          <w:color w:val="000000"/>
          <w:sz w:val="20"/>
          <w:szCs w:val="20"/>
        </w:rPr>
        <w:t xml:space="preserve">Machine Learning and AI: Large language models (LLM), LLM agents, agentic workflows, tool calling, function calling, Model Context Protocol (MCP), vector embeddings, vector search, semantic search, approximate nearest neighbour (ANN), HNSW, hybrid retrieval, BM25, retrieval augmented generation (RAG), ONNX Runtime, sentence transformers, automatic speech recognition (ASR), Rust, TypeScript</w:t>
      </w:r>
    </w:p>
    <w:p>
      <w:pPr>
        <w:spacing w:after="60" w:before="0"/>
      </w:pPr>
      <w:r>
        <w:rPr>
          <w:rFonts w:ascii="Calibri" w:cs="Calibri" w:eastAsia="Calibri" w:hAnsi="Calibri"/>
          <w:color w:val="000000"/>
          <w:sz w:val="20"/>
          <w:szCs w:val="20"/>
        </w:rPr>
        <w:t xml:space="preserve">Marketing Technology: Adobe Campaign Classic, Adobe Campaign Standard, IBM Unica, marketing automation, campaign management</w:t>
      </w:r>
    </w:p>
    <w:p>
      <w:pPr>
        <w:spacing w:after="60" w:before="0"/>
      </w:pPr>
      <w:r>
        <w:rPr>
          <w:rFonts w:ascii="Calibri" w:cs="Calibri" w:eastAsia="Calibri" w:hAnsi="Calibri"/>
          <w:color w:val="000000"/>
          <w:sz w:val="20"/>
          <w:szCs w:val="20"/>
        </w:rPr>
        <w:t xml:space="preserve">Domain: Digital payments, cards, digital wallets, fraud prevention, retail banking, financial services, regulatory compliance, retail, e-commerce, telecommunications</w:t>
      </w:r>
    </w:p>
    <w:p>
      <w:pPr>
        <w:spacing w:after="0" w:before="0"/>
      </w:pPr>
      <w:r>
        <w:rPr>
          <w:rFonts w:ascii="Calibri" w:cs="Calibri" w:eastAsia="Calibri" w:hAnsi="Calibri"/>
          <w:color w:val="000000"/>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before="0"/>
      </w:pPr>
      <w:r>
        <w:rPr>
          <w:rFonts w:ascii="Calibri" w:cs="Calibri" w:eastAsia="Calibri" w:hAnsi="Calibri"/>
          <w:b/>
          <w:bCs/>
          <w:color w:val="000000"/>
          <w:sz w:val="20"/>
          <w:szCs w:val="20"/>
        </w:rPr>
        <w:t xml:space="preserve">Tata Consultancy Services (TCS)</w:t>
      </w:r>
    </w:p>
    <w:p>
      <w:pPr>
        <w:spacing w:after="0" w:before="0"/>
      </w:pPr>
      <w:r>
        <w:rPr>
          <w:rFonts w:ascii="Calibri" w:cs="Calibri" w:eastAsia="Calibri" w:hAnsi="Calibri"/>
          <w:color w:val="000000"/>
          <w:sz w:val="20"/>
          <w:szCs w:val="20"/>
        </w:rPr>
        <w:t xml:space="preserve">Solution Architect / Associate Consultant</w:t>
      </w:r>
    </w:p>
    <w:p>
      <w:pPr>
        <w:spacing w:after="0" w:before="0"/>
      </w:pPr>
      <w:r>
        <w:rPr>
          <w:rFonts w:ascii="Calibri" w:cs="Calibri" w:eastAsia="Calibri" w:hAnsi="Calibri"/>
          <w:color w:val="000000"/>
          <w:sz w:val="20"/>
          <w:szCs w:val="20"/>
        </w:rPr>
        <w:t xml:space="preserve">Sep 2021 - Present | Pune, India</w:t>
      </w:r>
    </w:p>
    <w:p>
      <w:pPr>
        <w:spacing w:after="80" w:before="0"/>
      </w:pPr>
      <w:r>
        <w:rPr>
          <w:rFonts w:ascii="Calibri" w:cs="Calibri" w:eastAsia="Calibri" w:hAnsi="Calibri"/>
          <w:color w:val="000000"/>
          <w:sz w:val="20"/>
          <w:szCs w:val="20"/>
        </w:rPr>
        <w:t xml:space="preserve">Client: Lloyds Banking Group, United Kingdom (Banking)</w:t>
      </w:r>
    </w:p>
    <w:p>
      <w:pPr>
        <w:spacing w:after="40" w:before="0"/>
      </w:pPr>
      <w:r>
        <w:rPr>
          <w:rFonts w:ascii="Calibri" w:cs="Calibri" w:eastAsia="Calibri" w:hAnsi="Calibri"/>
          <w:b/>
          <w:bCs/>
          <w:color w:val="000000"/>
          <w:sz w:val="20"/>
          <w:szCs w:val="20"/>
        </w:rPr>
        <w:t xml:space="preserve">GCP Data Platform and Real-Time Analytics (Jul 2025 - Present)</w:t>
      </w:r>
    </w:p>
    <w:p>
      <w:pPr>
        <w:pStyle w:val="ListParagraph"/>
        <w:numPr>
          <w:ilvl w:val="0"/>
          <w:numId w:val="2"/>
        </w:numPr>
        <w:spacing w:after="40" w:before="0"/>
      </w:pPr>
      <w:r>
        <w:rPr>
          <w:rFonts w:ascii="Calibri" w:cs="Calibri" w:eastAsia="Calibri" w:hAnsi="Calibri"/>
          <w:color w:val="000000"/>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before="0"/>
      </w:pPr>
      <w:r>
        <w:rPr>
          <w:rFonts w:ascii="Calibri" w:cs="Calibri" w:eastAsia="Calibri" w:hAnsi="Calibri"/>
          <w:color w:val="000000"/>
          <w:sz w:val="20"/>
          <w:szCs w:val="20"/>
        </w:rPr>
        <w:t xml:space="preserve">Architected the bank's migration off its enterprise Group Data Warehouse onto a GCP-native operational data platform against a Q3-2026 decommissioning deadline, covering ingestion, curation and consumption layers.</w:t>
      </w:r>
    </w:p>
    <w:p>
      <w:pPr>
        <w:pStyle w:val="ListParagraph"/>
        <w:numPr>
          <w:ilvl w:val="0"/>
          <w:numId w:val="2"/>
        </w:numPr>
        <w:spacing w:after="40" w:before="0"/>
      </w:pPr>
      <w:r>
        <w:rPr>
          <w:rFonts w:ascii="Calibri" w:cs="Calibri" w:eastAsia="Calibri" w:hAnsi="Calibri"/>
          <w:color w:val="000000"/>
          <w:sz w:val="20"/>
          <w:szCs w:val="20"/>
        </w:rPr>
        <w:t xml:space="preserve">Authored the shared Microbatch Ingestion Service solution design on Google Kubernetes Engine (GKE) with Cloud Storage landing zones, BigQuery targets, Cloud Composer (Apache Airflow) orchestration, Jenkins CI and infrastructure-as-code deployment paths, adopted as the standard onboarding pattern for all source systems.</w:t>
      </w:r>
    </w:p>
    <w:p>
      <w:pPr>
        <w:pStyle w:val="ListParagraph"/>
        <w:numPr>
          <w:ilvl w:val="0"/>
          <w:numId w:val="2"/>
        </w:numPr>
        <w:spacing w:after="40" w:before="0"/>
      </w:pPr>
      <w:r>
        <w:rPr>
          <w:rFonts w:ascii="Calibri" w:cs="Calibri" w:eastAsia="Calibri" w:hAnsi="Calibri"/>
          <w:color w:val="000000"/>
          <w:sz w:val="20"/>
          <w:szCs w:val="20"/>
        </w:rPr>
        <w:t xml:space="preserve">Engineered high-availability event-driven streaming pipelines using Confluent Kafka, Google Cloud Pub/Sub and Python enabling low-latency data ingestion and real-time business insight.</w:t>
      </w:r>
    </w:p>
    <w:p>
      <w:pPr>
        <w:pStyle w:val="ListParagraph"/>
        <w:numPr>
          <w:ilvl w:val="0"/>
          <w:numId w:val="2"/>
        </w:numPr>
        <w:spacing w:after="40" w:before="0"/>
      </w:pPr>
      <w:r>
        <w:rPr>
          <w:rFonts w:ascii="Calibri" w:cs="Calibri" w:eastAsia="Calibri" w:hAnsi="Calibri"/>
          <w:color w:val="000000"/>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before="0"/>
      </w:pPr>
      <w:r>
        <w:rPr>
          <w:rFonts w:ascii="Calibri" w:cs="Calibri" w:eastAsia="Calibri" w:hAnsi="Calibri"/>
          <w:color w:val="000000"/>
          <w:sz w:val="20"/>
          <w:szCs w:val="20"/>
        </w:rPr>
        <w:t xml:space="preserve">Designed optimised data warehouse schemas in Google BigQuery and implemented modular transformation pipelines using dbt and Python with delta-load audit tables, ensuring data quality and end-to-end data lineage.</w:t>
      </w:r>
    </w:p>
    <w:p>
      <w:pPr>
        <w:pStyle w:val="ListParagraph"/>
        <w:numPr>
          <w:ilvl w:val="0"/>
          <w:numId w:val="2"/>
        </w:numPr>
        <w:spacing w:after="40" w:before="0"/>
      </w:pPr>
      <w:r>
        <w:rPr>
          <w:rFonts w:ascii="Calibri" w:cs="Calibri" w:eastAsia="Calibri" w:hAnsi="Calibri"/>
          <w:color w:val="000000"/>
          <w:sz w:val="20"/>
          <w:szCs w:val="20"/>
        </w:rPr>
        <w:t xml:space="preserve">Authored formal technical data contracts for five source systems onboarding to the platform, specifying source extracts, BigQuery target tables, orchestration, SLAs and data volumes.</w:t>
      </w:r>
    </w:p>
    <w:p>
      <w:pPr>
        <w:pStyle w:val="ListParagraph"/>
        <w:numPr>
          <w:ilvl w:val="0"/>
          <w:numId w:val="2"/>
        </w:numPr>
        <w:spacing w:after="40" w:before="0"/>
      </w:pPr>
      <w:r>
        <w:rPr>
          <w:rFonts w:ascii="Calibri" w:cs="Calibri" w:eastAsia="Calibri" w:hAnsi="Calibri"/>
          <w:color w:val="000000"/>
          <w:sz w:val="20"/>
          <w:szCs w:val="20"/>
        </w:rPr>
        <w:t xml:space="preserve">Authored the full architecture decision record (ADR) baseline for the bank's digital behaviour foundational data products on BigQuery, covering nested STRUCT and ARRAY schema modelling, partitioning and clustering strategy per entity, and identifier and key strategy.</w:t>
      </w:r>
    </w:p>
    <w:p>
      <w:pPr>
        <w:pStyle w:val="ListParagraph"/>
        <w:numPr>
          <w:ilvl w:val="0"/>
          <w:numId w:val="2"/>
        </w:numPr>
        <w:spacing w:after="40" w:before="0"/>
      </w:pPr>
      <w:r>
        <w:rPr>
          <w:rFonts w:ascii="Calibri" w:cs="Calibri" w:eastAsia="Calibri" w:hAnsi="Calibri"/>
          <w:color w:val="000000"/>
          <w:sz w:val="20"/>
          <w:szCs w:val="20"/>
        </w:rPr>
        <w:t xml:space="preserve">Redesigned the visitor and session identifier strategy to use canonical source keys, achieving exact parity with Adobe Analytics dashboards while eliminating window-function sessionization compute and retaining legacy keys for reconciliation.</w:t>
      </w:r>
    </w:p>
    <w:p>
      <w:pPr>
        <w:pStyle w:val="ListParagraph"/>
        <w:numPr>
          <w:ilvl w:val="0"/>
          <w:numId w:val="2"/>
        </w:numPr>
        <w:spacing w:after="40" w:before="0"/>
      </w:pPr>
      <w:r>
        <w:rPr>
          <w:rFonts w:ascii="Calibri" w:cs="Calibri" w:eastAsia="Calibri" w:hAnsi="Calibri"/>
          <w:color w:val="000000"/>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before="0"/>
      </w:pPr>
      <w:r>
        <w:rPr>
          <w:rFonts w:ascii="Calibri" w:cs="Calibri" w:eastAsia="Calibri" w:hAnsi="Calibri"/>
          <w:color w:val="000000"/>
          <w:sz w:val="20"/>
          <w:szCs w:val="20"/>
        </w:rPr>
        <w:t xml:space="preserve">Standardised infrastructure deployment using Terraform to provision Cloud Composer environments, BigQuery datasets, Kafka connectors and IAM roles across multiple environments, and integrated Terraform and pipeline deployments into automated CI/CD workflows, reducing environment configuration drift and deployment cycle time.</w:t>
      </w:r>
    </w:p>
    <w:p>
      <w:pPr>
        <w:pStyle w:val="ListParagraph"/>
        <w:numPr>
          <w:ilvl w:val="0"/>
          <w:numId w:val="2"/>
        </w:numPr>
        <w:spacing w:after="40" w:before="0"/>
      </w:pPr>
      <w:r>
        <w:rPr>
          <w:rFonts w:ascii="Calibri" w:cs="Calibri" w:eastAsia="Calibri" w:hAnsi="Calibri"/>
          <w:color w:val="000000"/>
          <w:sz w:val="20"/>
          <w:szCs w:val="20"/>
        </w:rPr>
        <w:t xml:space="preserve">Designed platform FinOps and cost governance controls including rightsizing, autoscaling, storage tiering, bucket lifecycle policy, tagging and quota limits, reducing compute overhead while improving query performance and data security governance.</w:t>
      </w:r>
    </w:p>
    <w:p>
      <w:pPr>
        <w:pStyle w:val="ListParagraph"/>
        <w:numPr>
          <w:ilvl w:val="0"/>
          <w:numId w:val="2"/>
        </w:numPr>
        <w:spacing w:after="40" w:before="0"/>
      </w:pPr>
      <w:r>
        <w:rPr>
          <w:rFonts w:ascii="Calibri" w:cs="Calibri" w:eastAsia="Calibri" w:hAnsi="Calibri"/>
          <w:color w:val="000000"/>
          <w:sz w:val="20"/>
          <w:szCs w:val="20"/>
        </w:rPr>
        <w:t xml:space="preserve">Co-owned the platform foundation migration recommendation, delivering the tier-1 MVP on the incumbent GCP foundation to protect the warehouse exit date while pre-planning a phased parallel-run migration to the strategic platform with explicit cutover, rollback, disaster recovery and capacity criteria.</w:t>
      </w:r>
    </w:p>
    <w:p>
      <w:pPr>
        <w:pStyle w:val="ListParagraph"/>
        <w:numPr>
          <w:ilvl w:val="0"/>
          <w:numId w:val="2"/>
        </w:numPr>
        <w:spacing w:after="40" w:before="0"/>
      </w:pPr>
      <w:r>
        <w:rPr>
          <w:rFonts w:ascii="Calibri" w:cs="Calibri" w:eastAsia="Calibri" w:hAnsi="Calibri"/>
          <w:color w:val="000000"/>
          <w:sz w:val="20"/>
          <w:szCs w:val="20"/>
        </w:rPr>
        <w:t xml:space="preserve">Partnered with cross-functional leadership, security teams and business units to translate functional requirements into production-ready architectural blueprints.</w:t>
      </w:r>
    </w:p>
    <w:p>
      <w:pPr>
        <w:spacing w:after="40" w:before="0"/>
      </w:pPr>
      <w:r>
        <w:rPr>
          <w:rFonts w:ascii="Calibri" w:cs="Calibri" w:eastAsia="Calibri" w:hAnsi="Calibri"/>
          <w:b/>
          <w:bCs/>
          <w:color w:val="000000"/>
          <w:sz w:val="20"/>
          <w:szCs w:val="20"/>
        </w:rPr>
        <w:t xml:space="preserve">Card Platform Modernisation on Google Cloud (2024 - Jul 2025)</w:t>
      </w:r>
    </w:p>
    <w:p>
      <w:pPr>
        <w:pStyle w:val="ListParagraph"/>
        <w:numPr>
          <w:ilvl w:val="0"/>
          <w:numId w:val="2"/>
        </w:numPr>
        <w:spacing w:after="40" w:before="0"/>
      </w:pPr>
      <w:r>
        <w:rPr>
          <w:rFonts w:ascii="Calibri" w:cs="Calibri" w:eastAsia="Calibri" w:hAnsi="Calibri"/>
          <w:color w:val="000000"/>
          <w:sz w:val="20"/>
          <w:szCs w:val="20"/>
        </w:rPr>
        <w:t xml:space="preserve">Owned the solution design for migrating the entire card journey estate including card controls, spending limits, card freeze, wallet provisioning and View Card / View PIN from on-premise infrastructure to Google Cloud Platform microservices behind an Apigee X API gateway, sequenced as a three-tranche release plan.</w:t>
      </w:r>
    </w:p>
    <w:p>
      <w:pPr>
        <w:pStyle w:val="ListParagraph"/>
        <w:numPr>
          <w:ilvl w:val="0"/>
          <w:numId w:val="2"/>
        </w:numPr>
        <w:spacing w:after="40" w:before="0"/>
      </w:pPr>
      <w:r>
        <w:rPr>
          <w:rFonts w:ascii="Calibri" w:cs="Calibri" w:eastAsia="Calibri" w:hAnsi="Calibri"/>
          <w:color w:val="000000"/>
          <w:sz w:val="20"/>
          <w:szCs w:val="20"/>
        </w:rPr>
        <w:t xml:space="preserve">Produced as-is and to-be solution designs with full sequence diagrams covering mobile application single sign-on, token provider integration, API gateway routing, channel and core services, and downstream card management system integration.</w:t>
      </w:r>
    </w:p>
    <w:p>
      <w:pPr>
        <w:pStyle w:val="ListParagraph"/>
        <w:numPr>
          <w:ilvl w:val="0"/>
          <w:numId w:val="2"/>
        </w:numPr>
        <w:spacing w:after="40" w:before="0"/>
      </w:pPr>
      <w:r>
        <w:rPr>
          <w:rFonts w:ascii="Calibri" w:cs="Calibri" w:eastAsia="Calibri" w:hAnsi="Calibri"/>
          <w:color w:val="000000"/>
          <w:sz w:val="20"/>
          <w:szCs w:val="20"/>
        </w:rPr>
        <w:t xml:space="preserve">Authored and secured approval for the identity and authentication onboarding pattern now used across the card estate, based on a ten-criteria options analysis covering token exchange, proof-of-possession, scaling rates, traceability and authorisation scope.</w:t>
      </w:r>
    </w:p>
    <w:p>
      <w:pPr>
        <w:pStyle w:val="ListParagraph"/>
        <w:numPr>
          <w:ilvl w:val="0"/>
          <w:numId w:val="2"/>
        </w:numPr>
        <w:spacing w:after="40" w:before="0"/>
      </w:pPr>
      <w:r>
        <w:rPr>
          <w:rFonts w:ascii="Calibri" w:cs="Calibri" w:eastAsia="Calibri" w:hAnsi="Calibri"/>
          <w:color w:val="000000"/>
          <w:sz w:val="20"/>
          <w:szCs w:val="20"/>
        </w:rPr>
        <w:t xml:space="preserve">Designed shared VISA and Fiserv scheme-connectivity microservices reused across feature teams on a common external certificate management pattern, with explicit trade-off analysis of coupling, certificate blast radius and environment conflicts.</w:t>
      </w:r>
    </w:p>
    <w:p>
      <w:pPr>
        <w:pStyle w:val="ListParagraph"/>
        <w:numPr>
          <w:ilvl w:val="0"/>
          <w:numId w:val="2"/>
        </w:numPr>
        <w:spacing w:after="40" w:before="0"/>
      </w:pPr>
      <w:r>
        <w:rPr>
          <w:rFonts w:ascii="Calibri" w:cs="Calibri" w:eastAsia="Calibri" w:hAnsi="Calibri"/>
          <w:color w:val="000000"/>
          <w:sz w:val="20"/>
          <w:szCs w:val="20"/>
        </w:rPr>
        <w:t xml:space="preserve">Carried every design through enterprise governance including technical architecture group review, security design assurance, cloud solution design assurance and API gateway design forums.</w:t>
      </w:r>
    </w:p>
    <w:p>
      <w:pPr>
        <w:spacing w:after="40" w:before="0"/>
      </w:pPr>
      <w:r>
        <w:rPr>
          <w:rFonts w:ascii="Calibri" w:cs="Calibri" w:eastAsia="Calibri" w:hAnsi="Calibri"/>
          <w:b/>
          <w:bCs/>
          <w:color w:val="000000"/>
          <w:sz w:val="20"/>
          <w:szCs w:val="20"/>
        </w:rPr>
        <w:t xml:space="preserve">Digital Wallets, Click to Pay and Card Controls (2021 - 2024)</w:t>
      </w:r>
    </w:p>
    <w:p>
      <w:pPr>
        <w:pStyle w:val="ListParagraph"/>
        <w:numPr>
          <w:ilvl w:val="0"/>
          <w:numId w:val="2"/>
        </w:numPr>
        <w:spacing w:after="40" w:before="0"/>
      </w:pPr>
      <w:r>
        <w:rPr>
          <w:rFonts w:ascii="Calibri" w:cs="Calibri" w:eastAsia="Calibri" w:hAnsi="Calibri"/>
          <w:color w:val="000000"/>
          <w:sz w:val="20"/>
          <w:szCs w:val="20"/>
        </w:rPr>
        <w:t xml:space="preserve">Architected an award-winning self-serve fraud journey recognised at the Banking Tech Awards 2024 and the Card and Payments Awards 2025, moving card freeze from an assisted call-centre process to a customer-completed digital journey.</w:t>
      </w:r>
    </w:p>
    <w:p>
      <w:pPr>
        <w:pStyle w:val="ListParagraph"/>
        <w:numPr>
          <w:ilvl w:val="0"/>
          <w:numId w:val="2"/>
        </w:numPr>
        <w:spacing w:after="40" w:before="0"/>
      </w:pPr>
      <w:r>
        <w:rPr>
          <w:rFonts w:ascii="Calibri" w:cs="Calibri" w:eastAsia="Calibri" w:hAnsi="Calibri"/>
          <w:color w:val="000000"/>
          <w:sz w:val="20"/>
          <w:szCs w:val="20"/>
        </w:rPr>
        <w:t xml:space="preserve">Authored the solution designs enabling the bank's four card brands in Apple Pay, Google Pay and VISA Click to Pay, covering Android and iOS push provisioning, card registration flows and scheme token handling.</w:t>
      </w:r>
    </w:p>
    <w:p>
      <w:pPr>
        <w:pStyle w:val="ListParagraph"/>
        <w:numPr>
          <w:ilvl w:val="0"/>
          <w:numId w:val="2"/>
        </w:numPr>
        <w:spacing w:after="40" w:before="0"/>
      </w:pPr>
      <w:r>
        <w:rPr>
          <w:rFonts w:ascii="Calibri" w:cs="Calibri" w:eastAsia="Calibri" w:hAnsi="Calibri"/>
          <w:color w:val="000000"/>
          <w:sz w:val="20"/>
          <w:szCs w:val="20"/>
        </w:rPr>
        <w:t xml:space="preserve">Designed the push provisioning API extension enabling wallet-added cards to be used for online card-on-file and autofill transactions rather than in-store transactions only, and authored the supporting business case.</w:t>
      </w:r>
    </w:p>
    <w:p>
      <w:pPr>
        <w:pStyle w:val="ListParagraph"/>
        <w:numPr>
          <w:ilvl w:val="0"/>
          <w:numId w:val="2"/>
        </w:numPr>
        <w:spacing w:after="40" w:before="0"/>
      </w:pPr>
      <w:r>
        <w:rPr>
          <w:rFonts w:ascii="Calibri" w:cs="Calibri" w:eastAsia="Calibri" w:hAnsi="Calibri"/>
          <w:color w:val="000000"/>
          <w:sz w:val="20"/>
          <w:szCs w:val="20"/>
        </w:rPr>
        <w:t xml:space="preserve">Designed payment token security to PCI standards including scheme and wallet one-time-passcode token generation, PGP key exchange with the wallet provider, PAN encryption placement and HSM-backed key storage using HashiCorp Vault.</w:t>
      </w:r>
    </w:p>
    <w:p>
      <w:pPr>
        <w:pStyle w:val="ListParagraph"/>
        <w:numPr>
          <w:ilvl w:val="0"/>
          <w:numId w:val="2"/>
        </w:numPr>
        <w:spacing w:after="40" w:before="0"/>
      </w:pPr>
      <w:r>
        <w:rPr>
          <w:rFonts w:ascii="Calibri" w:cs="Calibri" w:eastAsia="Calibri" w:hAnsi="Calibri"/>
          <w:color w:val="000000"/>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before="0"/>
      </w:pPr>
      <w:r>
        <w:rPr>
          <w:rFonts w:ascii="Calibri" w:cs="Calibri" w:eastAsia="Calibri" w:hAnsi="Calibri"/>
          <w:color w:val="000000"/>
          <w:sz w:val="20"/>
          <w:szCs w:val="20"/>
        </w:rPr>
        <w:t xml:space="preserve">Produced data lineage, data quality, data controls and data monitoring governance artefacts for the wallet data flows, plus application alerting and SSL/TLS certificate issuance standards.</w:t>
      </w:r>
    </w:p>
    <w:p>
      <w:pPr>
        <w:pStyle w:val="ListParagraph"/>
        <w:numPr>
          <w:ilvl w:val="0"/>
          <w:numId w:val="2"/>
        </w:numPr>
        <w:spacing w:after="40" w:before="0"/>
      </w:pPr>
      <w:r>
        <w:rPr>
          <w:rFonts w:ascii="Calibri" w:cs="Calibri" w:eastAsia="Calibri" w:hAnsi="Calibri"/>
          <w:color w:val="000000"/>
          <w:sz w:val="20"/>
          <w:szCs w:val="20"/>
        </w:rPr>
        <w:t xml:space="preserve">Designed service discovery, API gateway, containerisation, load balancing and secure inter-service communication patterns for mobile applications.</w:t>
      </w:r>
    </w:p>
    <w:p>
      <w:pPr>
        <w:spacing w:after="0" w:before="0"/>
      </w:pPr>
      <w:r>
        <w:rPr>
          <w:rFonts w:ascii="Calibri" w:cs="Calibri" w:eastAsia="Calibri" w:hAnsi="Calibri"/>
          <w:b/>
          <w:bCs/>
          <w:color w:val="000000"/>
          <w:sz w:val="20"/>
          <w:szCs w:val="20"/>
        </w:rPr>
        <w:t xml:space="preserve">Sears IT and Management Services India Private Limited</w:t>
      </w:r>
    </w:p>
    <w:p>
      <w:pPr>
        <w:spacing w:after="0" w:before="0"/>
      </w:pPr>
      <w:r>
        <w:rPr>
          <w:rFonts w:ascii="Calibri" w:cs="Calibri" w:eastAsia="Calibri" w:hAnsi="Calibri"/>
          <w:color w:val="000000"/>
          <w:sz w:val="20"/>
          <w:szCs w:val="20"/>
        </w:rPr>
        <w:t xml:space="preserve">Architect (joined as Technical Specialist)</w:t>
      </w:r>
    </w:p>
    <w:p>
      <w:pPr>
        <w:spacing w:after="0" w:before="0"/>
      </w:pPr>
      <w:r>
        <w:rPr>
          <w:rFonts w:ascii="Calibri" w:cs="Calibri" w:eastAsia="Calibri" w:hAnsi="Calibri"/>
          <w:color w:val="000000"/>
          <w:sz w:val="20"/>
          <w:szCs w:val="20"/>
        </w:rPr>
        <w:t xml:space="preserve">Feb 2018 - Sep 2021 | Pune, India</w:t>
      </w:r>
    </w:p>
    <w:p>
      <w:pPr>
        <w:spacing w:after="80" w:before="0"/>
      </w:pPr>
      <w:r>
        <w:rPr>
          <w:rFonts w:ascii="Calibri" w:cs="Calibri" w:eastAsia="Calibri" w:hAnsi="Calibri"/>
          <w:color w:val="000000"/>
          <w:sz w:val="20"/>
          <w:szCs w:val="20"/>
        </w:rPr>
        <w:t xml:space="preserve">Client: Sears Holdings Corporation, United States (Retail)</w:t>
      </w:r>
    </w:p>
    <w:p>
      <w:pPr>
        <w:pStyle w:val="ListParagraph"/>
        <w:numPr>
          <w:ilvl w:val="0"/>
          <w:numId w:val="2"/>
        </w:numPr>
        <w:spacing w:after="40" w:before="0"/>
      </w:pPr>
      <w:r>
        <w:rPr>
          <w:rFonts w:ascii="Calibri" w:cs="Calibri" w:eastAsia="Calibri" w:hAnsi="Calibri"/>
          <w:color w:val="000000"/>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before="0"/>
      </w:pPr>
      <w:r>
        <w:rPr>
          <w:rFonts w:ascii="Calibri" w:cs="Calibri" w:eastAsia="Calibri" w:hAnsi="Calibri"/>
          <w:color w:val="000000"/>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before="0"/>
      </w:pPr>
      <w:r>
        <w:rPr>
          <w:rFonts w:ascii="Calibri" w:cs="Calibri" w:eastAsia="Calibri" w:hAnsi="Calibri"/>
          <w:color w:val="000000"/>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before="0"/>
      </w:pPr>
      <w:r>
        <w:rPr>
          <w:rFonts w:ascii="Calibri" w:cs="Calibri" w:eastAsia="Calibri" w:hAnsi="Calibri"/>
          <w:color w:val="000000"/>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before="0"/>
      </w:pPr>
      <w:r>
        <w:rPr>
          <w:rFonts w:ascii="Calibri" w:cs="Calibri" w:eastAsia="Calibri" w:hAnsi="Calibri"/>
          <w:color w:val="000000"/>
          <w:sz w:val="20"/>
          <w:szCs w:val="20"/>
        </w:rPr>
        <w:t xml:space="preserve">Designed and implemented shared data marts (CDW, NSegment, Campaign) in BigQuery to meet enterprise business requirements.</w:t>
      </w:r>
    </w:p>
    <w:p>
      <w:pPr>
        <w:pStyle w:val="ListParagraph"/>
        <w:numPr>
          <w:ilvl w:val="0"/>
          <w:numId w:val="2"/>
        </w:numPr>
        <w:spacing w:after="40" w:before="0"/>
      </w:pPr>
      <w:r>
        <w:rPr>
          <w:rFonts w:ascii="Calibri" w:cs="Calibri" w:eastAsia="Calibri" w:hAnsi="Calibri"/>
          <w:color w:val="000000"/>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before="0"/>
      </w:pPr>
      <w:r>
        <w:rPr>
          <w:rFonts w:ascii="Calibri" w:cs="Calibri" w:eastAsia="Calibri" w:hAnsi="Calibri"/>
          <w:color w:val="000000"/>
          <w:sz w:val="20"/>
          <w:szCs w:val="20"/>
        </w:rPr>
        <w:t xml:space="preserve">Delivered stakeholder reporting using Tableau and Google Data Studio; performed continuous cloud cost optimisation on GCP.</w:t>
      </w:r>
    </w:p>
    <w:p>
      <w:pPr>
        <w:spacing w:after="0" w:before="0"/>
      </w:pPr>
      <w:r>
        <w:rPr>
          <w:rFonts w:ascii="Calibri" w:cs="Calibri" w:eastAsia="Calibri" w:hAnsi="Calibri"/>
          <w:b/>
          <w:bCs/>
          <w:color w:val="000000"/>
          <w:sz w:val="20"/>
          <w:szCs w:val="20"/>
        </w:rPr>
        <w:t xml:space="preserve">Cognizant Technology Solutions</w:t>
      </w:r>
    </w:p>
    <w:p>
      <w:pPr>
        <w:spacing w:after="0" w:before="0"/>
      </w:pPr>
      <w:r>
        <w:rPr>
          <w:rFonts w:ascii="Calibri" w:cs="Calibri" w:eastAsia="Calibri" w:hAnsi="Calibri"/>
          <w:color w:val="000000"/>
          <w:sz w:val="20"/>
          <w:szCs w:val="20"/>
        </w:rPr>
        <w:t xml:space="preserve">Senior Associate - Projects</w:t>
      </w:r>
    </w:p>
    <w:p>
      <w:pPr>
        <w:spacing w:after="0" w:before="0"/>
      </w:pPr>
      <w:r>
        <w:rPr>
          <w:rFonts w:ascii="Calibri" w:cs="Calibri" w:eastAsia="Calibri" w:hAnsi="Calibri"/>
          <w:color w:val="000000"/>
          <w:sz w:val="20"/>
          <w:szCs w:val="20"/>
        </w:rPr>
        <w:t xml:space="preserve">Nov 2010 - Feb 2018 | Pune, India</w:t>
      </w:r>
    </w:p>
    <w:p>
      <w:pPr>
        <w:spacing w:after="80" w:before="0"/>
      </w:pPr>
      <w:r>
        <w:rPr>
          <w:rFonts w:ascii="Calibri" w:cs="Calibri" w:eastAsia="Calibri" w:hAnsi="Calibri"/>
          <w:color w:val="000000"/>
          <w:sz w:val="20"/>
          <w:szCs w:val="20"/>
        </w:rPr>
        <w:t xml:space="preserve">Clients: Saudi Telecom Company, Saudi Arabia (Telecom); Barclays, United Kingdom (Banking)</w:t>
      </w:r>
    </w:p>
    <w:p>
      <w:pPr>
        <w:pStyle w:val="ListParagraph"/>
        <w:numPr>
          <w:ilvl w:val="0"/>
          <w:numId w:val="2"/>
        </w:numPr>
        <w:spacing w:after="40" w:before="0"/>
      </w:pPr>
      <w:r>
        <w:rPr>
          <w:rFonts w:ascii="Calibri" w:cs="Calibri" w:eastAsia="Calibri" w:hAnsi="Calibri"/>
          <w:color w:val="000000"/>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before="0"/>
      </w:pPr>
      <w:r>
        <w:rPr>
          <w:rFonts w:ascii="Calibri" w:cs="Calibri" w:eastAsia="Calibri" w:hAnsi="Calibri"/>
          <w:color w:val="000000"/>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before="0"/>
      </w:pPr>
      <w:r>
        <w:rPr>
          <w:rFonts w:ascii="Calibri" w:cs="Calibri" w:eastAsia="Calibri" w:hAnsi="Calibri"/>
          <w:color w:val="000000"/>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before="0"/>
      </w:pPr>
      <w:r>
        <w:rPr>
          <w:rFonts w:ascii="Calibri" w:cs="Calibri" w:eastAsia="Calibri" w:hAnsi="Calibri"/>
          <w:color w:val="000000"/>
          <w:sz w:val="20"/>
          <w:szCs w:val="20"/>
        </w:rPr>
        <w:t xml:space="preserve">Pioneered a big data proof of concept using Apache Hive and HDFS for call detail record (CDR) ingestion.</w:t>
      </w:r>
    </w:p>
    <w:p>
      <w:pPr>
        <w:pStyle w:val="ListParagraph"/>
        <w:numPr>
          <w:ilvl w:val="0"/>
          <w:numId w:val="2"/>
        </w:numPr>
        <w:spacing w:after="40" w:before="0"/>
      </w:pPr>
      <w:r>
        <w:rPr>
          <w:rFonts w:ascii="Calibri" w:cs="Calibri" w:eastAsia="Calibri" w:hAnsi="Calibri"/>
          <w:color w:val="000000"/>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before="0"/>
      </w:pPr>
      <w:r>
        <w:rPr>
          <w:rFonts w:ascii="Calibri" w:cs="Calibri" w:eastAsia="Calibri" w:hAnsi="Calibri"/>
          <w:color w:val="000000"/>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before="0"/>
      </w:pPr>
      <w:r>
        <w:rPr>
          <w:rFonts w:ascii="Calibri" w:cs="Calibri" w:eastAsia="Calibri" w:hAnsi="Calibri"/>
          <w:color w:val="000000"/>
          <w:sz w:val="20"/>
          <w:szCs w:val="20"/>
        </w:rPr>
        <w:t xml:space="preserve">Delivered reusable automation tools for code generation, deployment and job scheduling, significantly reducing manual effort.</w:t>
      </w:r>
    </w:p>
    <w:p>
      <w:pPr>
        <w:pStyle w:val="ListParagraph"/>
        <w:numPr>
          <w:ilvl w:val="0"/>
          <w:numId w:val="2"/>
        </w:numPr>
        <w:spacing w:after="40" w:before="0"/>
      </w:pPr>
      <w:r>
        <w:rPr>
          <w:rFonts w:ascii="Calibri" w:cs="Calibri" w:eastAsia="Calibri" w:hAnsi="Calibri"/>
          <w:color w:val="000000"/>
          <w:sz w:val="20"/>
          <w:szCs w:val="20"/>
        </w:rPr>
        <w:t xml:space="preserve">Implemented archiving and purging solutions using Greenplum as a cost-efficient historical data tier.</w:t>
      </w:r>
    </w:p>
    <w:p>
      <w:pPr>
        <w:spacing w:after="0" w:before="0"/>
      </w:pPr>
      <w:r>
        <w:rPr>
          <w:rFonts w:ascii="Calibri" w:cs="Calibri" w:eastAsia="Calibri" w:hAnsi="Calibri"/>
          <w:b/>
          <w:bCs/>
          <w:color w:val="000000"/>
          <w:sz w:val="20"/>
          <w:szCs w:val="20"/>
        </w:rPr>
        <w:t xml:space="preserve">Mahindra Satyam</w:t>
      </w:r>
    </w:p>
    <w:p>
      <w:pPr>
        <w:spacing w:after="0" w:before="0"/>
      </w:pPr>
      <w:r>
        <w:rPr>
          <w:rFonts w:ascii="Calibri" w:cs="Calibri" w:eastAsia="Calibri" w:hAnsi="Calibri"/>
          <w:color w:val="000000"/>
          <w:sz w:val="20"/>
          <w:szCs w:val="20"/>
        </w:rPr>
        <w:t xml:space="preserve">Software Developer - S2</w:t>
      </w:r>
    </w:p>
    <w:p>
      <w:pPr>
        <w:spacing w:after="0" w:before="0"/>
      </w:pPr>
      <w:r>
        <w:rPr>
          <w:rFonts w:ascii="Calibri" w:cs="Calibri" w:eastAsia="Calibri" w:hAnsi="Calibri"/>
          <w:color w:val="000000"/>
          <w:sz w:val="20"/>
          <w:szCs w:val="20"/>
        </w:rPr>
        <w:t xml:space="preserve">Jan 2008 - Nov 2010 | Hyderabad and Bangalore, India</w:t>
      </w:r>
    </w:p>
    <w:p>
      <w:pPr>
        <w:spacing w:after="80" w:before="0"/>
      </w:pPr>
      <w:r>
        <w:rPr>
          <w:rFonts w:ascii="Calibri" w:cs="Calibri" w:eastAsia="Calibri" w:hAnsi="Calibri"/>
          <w:color w:val="000000"/>
          <w:sz w:val="20"/>
          <w:szCs w:val="20"/>
        </w:rPr>
        <w:t xml:space="preserve">Client: Telstra Corporation, Australia (Telecom)</w:t>
      </w:r>
    </w:p>
    <w:p>
      <w:pPr>
        <w:pStyle w:val="ListParagraph"/>
        <w:numPr>
          <w:ilvl w:val="0"/>
          <w:numId w:val="2"/>
        </w:numPr>
        <w:spacing w:after="40" w:before="0"/>
      </w:pPr>
      <w:r>
        <w:rPr>
          <w:rFonts w:ascii="Calibri" w:cs="Calibri" w:eastAsia="Calibri" w:hAnsi="Calibri"/>
          <w:color w:val="000000"/>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before="0"/>
      </w:pPr>
      <w:r>
        <w:rPr>
          <w:rFonts w:ascii="Calibri" w:cs="Calibri" w:eastAsia="Calibri" w:hAnsi="Calibri"/>
          <w:color w:val="000000"/>
          <w:sz w:val="20"/>
          <w:szCs w:val="20"/>
        </w:rPr>
        <w:t xml:space="preserve">Developed Informatica mappings and workflows migrating data from Oracle to Teradata for an enterprise data warehouse.</w:t>
      </w:r>
    </w:p>
    <w:p>
      <w:pPr>
        <w:pStyle w:val="ListParagraph"/>
        <w:numPr>
          <w:ilvl w:val="0"/>
          <w:numId w:val="2"/>
        </w:numPr>
        <w:spacing w:after="40" w:before="0"/>
      </w:pPr>
      <w:r>
        <w:rPr>
          <w:rFonts w:ascii="Calibri" w:cs="Calibri" w:eastAsia="Calibri" w:hAnsi="Calibri"/>
          <w:color w:val="000000"/>
          <w:sz w:val="20"/>
          <w:szCs w:val="20"/>
        </w:rPr>
        <w:t xml:space="preserve">Performed unit testing, data validation and defect resolution.</w:t>
      </w:r>
    </w:p>
    <w:p>
      <w:pPr>
        <w:pStyle w:val="Heading1"/>
        <w:spacing w:after="100" w:before="200"/>
      </w:pPr>
      <w:r>
        <w:rPr>
          <w:rFonts w:ascii="Calibri" w:cs="Calibri" w:eastAsia="Calibri" w:hAnsi="Calibri"/>
          <w:b/>
          <w:bCs/>
          <w:color w:val="000000"/>
          <w:sz w:val="24"/>
          <w:szCs w:val="24"/>
        </w:rPr>
        <w:t xml:space="preserve">OPEN SOURCE PROJECTS</w:t>
      </w:r>
    </w:p>
    <w:p>
      <w:pPr>
        <w:spacing w:after="40" w:before="0"/>
      </w:pPr>
      <w:r>
        <w:rPr>
          <w:rFonts w:ascii="Calibri" w:cs="Calibri" w:eastAsia="Calibri" w:hAnsi="Calibri"/>
          <w:b/>
          <w:bCs/>
          <w:color w:val="000000"/>
          <w:sz w:val="20"/>
          <w:szCs w:val="20"/>
        </w:rPr>
        <w:t xml:space="preserve">hoocode - github.com/kolisachint/hoocode (TypeScript)</w:t>
      </w:r>
    </w:p>
    <w:p>
      <w:pPr>
        <w:pStyle w:val="ListParagraph"/>
        <w:numPr>
          <w:ilvl w:val="0"/>
          <w:numId w:val="2"/>
        </w:numPr>
        <w:spacing w:after="40" w:before="0"/>
      </w:pPr>
      <w:r>
        <w:rPr>
          <w:rFonts w:ascii="Calibri" w:cs="Calibri" w:eastAsia="Calibri" w:hAnsi="Calibri"/>
          <w:color w:val="000000"/>
          <w:sz w:val="20"/>
          <w:szCs w:val="20"/>
        </w:rPr>
        <w:t xml:space="preserve">Deterministic terminal coding agent published to npm as @kolisachint/hoocode-agent. Four packages: CLI, agent runtime with tool calling and state management, unified LLM API across 25+ providers, and a terminal UI library with differential rendering.</w:t>
      </w:r>
    </w:p>
    <w:p>
      <w:pPr>
        <w:pStyle w:val="ListParagraph"/>
        <w:numPr>
          <w:ilvl w:val="0"/>
          <w:numId w:val="2"/>
        </w:numPr>
        <w:spacing w:after="40" w:before="0"/>
      </w:pPr>
      <w:r>
        <w:rPr>
          <w:rFonts w:ascii="Calibri" w:cs="Calibri" w:eastAsia="Calibri" w:hAnsi="Calibri"/>
          <w:color w:val="000000"/>
          <w:sz w:val="20"/>
          <w:szCs w:val="20"/>
        </w:rPr>
        <w:t xml:space="preserve">Permission gating on every file edit and shell command, four scoped agent modes, Model Context Protocol (MCP) server support and subagent delegation.</w:t>
      </w:r>
    </w:p>
    <w:p>
      <w:pPr>
        <w:spacing w:after="40" w:before="0"/>
      </w:pPr>
      <w:r>
        <w:rPr>
          <w:rFonts w:ascii="Calibri" w:cs="Calibri" w:eastAsia="Calibri" w:hAnsi="Calibri"/>
          <w:b/>
          <w:bCs/>
          <w:color w:val="000000"/>
          <w:sz w:val="20"/>
          <w:szCs w:val="20"/>
        </w:rPr>
        <w:t xml:space="preserve">embeddingsearchtools - github.com/kolisachint/embeddingsearchtools (Rust)</w:t>
      </w:r>
    </w:p>
    <w:p>
      <w:pPr>
        <w:pStyle w:val="ListParagraph"/>
        <w:numPr>
          <w:ilvl w:val="0"/>
          <w:numId w:val="2"/>
        </w:numPr>
        <w:spacing w:after="40" w:before="0"/>
      </w:pPr>
      <w:r>
        <w:rPr>
          <w:rFonts w:ascii="Calibri" w:cs="Calibri" w:eastAsia="Calibri" w:hAnsi="Calibri"/>
          <w:color w:val="000000"/>
          <w:sz w:val="20"/>
          <w:szCs w:val="20"/>
        </w:rPr>
        <w:t xml:space="preserve">Embedding search engine. Sentence-transformer inference (all-MiniLM-L6-v2) via ONNX Runtime with int8 quantised weights bundled into the binary.</w:t>
      </w:r>
    </w:p>
    <w:p>
      <w:pPr>
        <w:pStyle w:val="ListParagraph"/>
        <w:numPr>
          <w:ilvl w:val="0"/>
          <w:numId w:val="2"/>
        </w:numPr>
        <w:spacing w:after="40" w:before="0"/>
      </w:pPr>
      <w:r>
        <w:rPr>
          <w:rFonts w:ascii="Calibri" w:cs="Calibri" w:eastAsia="Calibri" w:hAnsi="Calibri"/>
          <w:color w:val="000000"/>
          <w:sz w:val="20"/>
          <w:szCs w:val="20"/>
        </w:rPr>
        <w:t xml:space="preserve">Exact and HNSW approximate nearest neighbour vector indexes implemented from scratch; BM25 lexical index fused for hybrid retrieval; memory-mapped persistence exposed through a library API, CLI and long-lived daemon.</w:t>
      </w:r>
    </w:p>
    <w:p>
      <w:pPr>
        <w:spacing w:after="40" w:before="0"/>
      </w:pPr>
      <w:r>
        <w:rPr>
          <w:rFonts w:ascii="Calibri" w:cs="Calibri" w:eastAsia="Calibri" w:hAnsi="Calibri"/>
          <w:b/>
          <w:bCs/>
          <w:color w:val="000000"/>
          <w:sz w:val="20"/>
          <w:szCs w:val="20"/>
        </w:rPr>
        <w:t xml:space="preserve">voicetools - github.com/kolisachint/voicetools (Rust)</w:t>
      </w:r>
    </w:p>
    <w:p>
      <w:pPr>
        <w:pStyle w:val="ListParagraph"/>
        <w:numPr>
          <w:ilvl w:val="0"/>
          <w:numId w:val="2"/>
        </w:numPr>
        <w:spacing w:after="40" w:before="0"/>
      </w:pPr>
      <w:r>
        <w:rPr>
          <w:rFonts w:ascii="Calibri" w:cs="Calibri" w:eastAsia="Calibri" w:hAnsi="Calibri"/>
          <w:color w:val="000000"/>
          <w:sz w:val="20"/>
          <w:szCs w:val="20"/>
        </w:rPr>
        <w:t xml:space="preserve">Offline automatic speech recognition for the terminal. Microphone capture, voice activity detection and resampling into Parakeet-TDT on ONNX Runtime across 25 languages, with a Whisper fallback backend.</w:t>
      </w:r>
    </w:p>
    <w:p>
      <w:pPr>
        <w:spacing w:after="40" w:before="0"/>
      </w:pPr>
      <w:r>
        <w:rPr>
          <w:rFonts w:ascii="Calibri" w:cs="Calibri" w:eastAsia="Calibri" w:hAnsi="Calibri"/>
          <w:b/>
          <w:bCs/>
          <w:color w:val="000000"/>
          <w:sz w:val="20"/>
          <w:szCs w:val="20"/>
        </w:rPr>
        <w:t xml:space="preserve">webtools - github.com/kolisachint/webtools (Rust)</w:t>
      </w:r>
    </w:p>
    <w:p>
      <w:pPr>
        <w:pStyle w:val="ListParagraph"/>
        <w:numPr>
          <w:ilvl w:val="0"/>
          <w:numId w:val="2"/>
        </w:numPr>
        <w:spacing w:after="40" w:before="0"/>
      </w:pPr>
      <w:r>
        <w:rPr>
          <w:rFonts w:ascii="Calibri" w:cs="Calibri" w:eastAsia="Calibri" w:hAnsi="Calibri"/>
          <w:color w:val="000000"/>
          <w:sz w:val="20"/>
          <w:szCs w:val="20"/>
        </w:rPr>
        <w:t xml:space="preserve">Token-efficient web fetch and search tooling for LLM agents, with reference-style URL preservation and total output token budgeting.</w:t>
      </w:r>
    </w:p>
    <w:p>
      <w:pPr>
        <w:pStyle w:val="Heading1"/>
        <w:spacing w:after="100" w:before="200"/>
      </w:pPr>
      <w:r>
        <w:rPr>
          <w:rFonts w:ascii="Calibri" w:cs="Calibri" w:eastAsia="Calibri" w:hAnsi="Calibri"/>
          <w:b/>
          <w:bCs/>
          <w:color w:val="000000"/>
          <w:sz w:val="24"/>
          <w:szCs w:val="24"/>
        </w:rPr>
        <w:t xml:space="preserve">EDUCATION</w:t>
      </w:r>
    </w:p>
    <w:p>
      <w:pPr>
        <w:spacing w:after="0" w:before="0"/>
      </w:pPr>
      <w:r>
        <w:rPr>
          <w:rFonts w:ascii="Calibri" w:cs="Calibri" w:eastAsia="Calibri" w:hAnsi="Calibri"/>
          <w:b/>
          <w:bCs/>
          <w:color w:val="000000"/>
          <w:sz w:val="20"/>
          <w:szCs w:val="20"/>
        </w:rPr>
        <w:t xml:space="preserve">Bachelor of Engineering, Computer Science and Engineering</w:t>
      </w:r>
    </w:p>
    <w:p>
      <w:pPr>
        <w:spacing w:after="0" w:before="0"/>
      </w:pPr>
      <w:r>
        <w:rPr>
          <w:rFonts w:ascii="Calibri" w:cs="Calibri" w:eastAsia="Calibri" w:hAnsi="Calibri"/>
          <w:color w:val="000000"/>
          <w:sz w:val="20"/>
          <w:szCs w:val="20"/>
        </w:rPr>
        <w:t xml:space="preserve">Walchand College of Engineering, Sangli (Shivaji University)</w:t>
      </w:r>
    </w:p>
    <w:p>
      <w:pPr>
        <w:spacing w:after="0" w:before="0"/>
      </w:pPr>
      <w:r>
        <w:rPr>
          <w:rFonts w:ascii="Calibri" w:cs="Calibri" w:eastAsia="Calibri" w:hAnsi="Calibri"/>
          <w:color w:val="000000"/>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before="0"/>
      </w:pPr>
      <w:r>
        <w:rPr>
          <w:rFonts w:ascii="Calibri" w:cs="Calibri" w:eastAsia="Calibri" w:hAnsi="Calibri"/>
          <w:color w:val="000000"/>
          <w:sz w:val="20"/>
          <w:szCs w:val="20"/>
        </w:rPr>
        <w:t xml:space="preserve">Google Cloud Certified - Professional Data Engineer (PDE), Google Cloud</w:t>
      </w:r>
    </w:p>
    <w:p>
      <w:pPr>
        <w:spacing w:after="0" w:before="0"/>
      </w:pPr>
      <w:r>
        <w:rPr>
          <w:rFonts w:ascii="Calibri" w:cs="Calibri" w:eastAsia="Calibri" w:hAnsi="Calibri"/>
          <w:color w:val="000000"/>
          <w:sz w:val="20"/>
          <w:szCs w:val="20"/>
        </w:rPr>
        <w:t xml:space="preserve">Google Cloud Professional Cloud Architect (PCA) - In Progress</w:t>
      </w:r>
    </w:p>
    <w:p>
      <w:pPr>
        <w:spacing w:after="0" w:before="0"/>
      </w:pPr>
      <w:r>
        <w:rPr>
          <w:rFonts w:ascii="Calibri" w:cs="Calibri" w:eastAsia="Calibri" w:hAnsi="Calibri"/>
          <w:color w:val="000000"/>
          <w:sz w:val="20"/>
          <w:szCs w:val="20"/>
        </w:rPr>
        <w:t xml:space="preserve">Data Engineering, Big Data and Machine Learning on Google Cloud Platform - Specialization, Coursera</w:t>
      </w:r>
    </w:p>
    <w:p>
      <w:pPr>
        <w:spacing w:after="0" w:before="0"/>
      </w:pPr>
      <w:r>
        <w:rPr>
          <w:rFonts w:ascii="Calibri" w:cs="Calibri" w:eastAsia="Calibri" w:hAnsi="Calibri"/>
          <w:color w:val="000000"/>
          <w:sz w:val="20"/>
          <w:szCs w:val="20"/>
        </w:rPr>
        <w:t xml:space="preserve">Teradata Basics V2R5 - Teradata</w:t>
      </w:r>
    </w:p>
    <w:p>
      <w:pPr>
        <w:spacing w:after="0" w:before="0"/>
      </w:pPr>
      <w:r>
        <w:rPr>
          <w:rFonts w:ascii="Calibri" w:cs="Calibri" w:eastAsia="Calibri" w:hAnsi="Calibri"/>
          <w:color w:val="000000"/>
          <w:sz w:val="20"/>
          <w:szCs w:val="20"/>
        </w:rPr>
        <w:t xml:space="preserve">Teradata SQL V2R5 - Teradata</w:t>
      </w:r>
    </w:p>
    <w:p>
      <w:pPr>
        <w:spacing w:after="0" w:before="0"/>
      </w:pPr>
      <w:r>
        <w:rPr>
          <w:rFonts w:ascii="Calibri" w:cs="Calibri" w:eastAsia="Calibri" w:hAnsi="Calibri"/>
          <w:color w:val="000000"/>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before="0"/>
      </w:pPr>
      <w:r>
        <w:rPr>
          <w:rFonts w:ascii="Calibri" w:cs="Calibri" w:eastAsia="Calibri" w:hAnsi="Calibri"/>
          <w:color w:val="000000"/>
          <w:sz w:val="20"/>
          <w:szCs w:val="20"/>
        </w:rPr>
        <w:t xml:space="preserve">Total experience: 18 years</w:t>
      </w:r>
    </w:p>
    <w:p>
      <w:pPr>
        <w:spacing w:after="0" w:before="0"/>
      </w:pPr>
      <w:r>
        <w:rPr>
          <w:rFonts w:ascii="Calibri" w:cs="Calibri" w:eastAsia="Calibri" w:hAnsi="Calibri"/>
          <w:color w:val="000000"/>
          <w:sz w:val="20"/>
          <w:szCs w:val="20"/>
        </w:rPr>
        <w:t xml:space="preserve">Notice period: [fill in before submitting]</w:t>
      </w:r>
    </w:p>
    <w:p>
      <w:pPr>
        <w:spacing w:after="0" w:before="0"/>
      </w:pPr>
      <w:r>
        <w:rPr>
          <w:rFonts w:ascii="Calibri" w:cs="Calibri" w:eastAsia="Calibri" w:hAnsi="Calibri"/>
          <w:color w:val="000000"/>
          <w:sz w:val="20"/>
          <w:szCs w:val="20"/>
        </w:rPr>
        <w:t xml:space="preserve">Current location: Pune, India</w:t>
      </w:r>
    </w:p>
    <w:p>
      <w:pPr>
        <w:spacing w:after="0" w:before="0"/>
      </w:pPr>
      <w:r>
        <w:rPr>
          <w:rFonts w:ascii="Calibri" w:cs="Calibri" w:eastAsia="Calibri" w:hAnsi="Calibri"/>
          <w:color w:val="000000"/>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Koli — ATS resume</dc:title>
  <dc:creator>Sachin Koli</dc:creator>
  <cp:lastModifiedBy>Un-named</cp:lastModifiedBy>
  <cp:revision>1</cp:revision>
  <dcterms:created xsi:type="dcterms:W3CDTF">2026-09-04T03:55:01.490Z</dcterms:created>
  <dcterms:modified xsi:type="dcterms:W3CDTF">2026-09-04T03:55:01.490Z</dcterms:modified>
</cp:coreProperties>
</file>

<file path=docProps/custom.xml><?xml version="1.0" encoding="utf-8"?>
<Properties xmlns="http://schemas.openxmlformats.org/officeDocument/2006/custom-properties" xmlns:vt="http://schemas.openxmlformats.org/officeDocument/2006/docPropsVTypes"/>
</file>