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20" w:line="240"/>
      </w:pPr>
      <w:r>
        <w:rPr>
          <w:rFonts w:ascii="Calibri" w:cs="Calibri" w:eastAsia="Calibri" w:hAnsi="Calibri"/>
          <w:b/>
          <w:bCs/>
          <w:color w:val="0B0D0F"/>
          <w:sz w:val="50"/>
          <w:szCs w:val="50"/>
        </w:rPr>
        <w:t xml:space="preserve">Sachin Koli</w:t>
      </w:r>
    </w:p>
    <w:p>
      <w:pPr>
        <w:keepNext/>
        <w:spacing w:after="20" w:line="240"/>
      </w:pPr>
      <w:r>
        <w:rPr>
          <w:rFonts w:ascii="Calibri" w:cs="Calibri" w:eastAsia="Calibri" w:hAnsi="Calibri"/>
          <w:b/>
          <w:bCs/>
          <w:color w:val="0B5C4D"/>
          <w:sz w:val="23"/>
          <w:szCs w:val="23"/>
        </w:rPr>
        <w:t xml:space="preserve">Solution Architect — Cloud Data &amp; AI Platforms</w:t>
      </w:r>
    </w:p>
    <w:p>
      <w:pPr>
        <w:keepNext/>
        <w:spacing w:after="0" w:line="240"/>
      </w:pPr>
      <w:r>
        <w:rPr>
          <w:rFonts w:ascii="Calibri" w:cs="Calibri" w:eastAsia="Calibri" w:hAnsi="Calibri"/>
          <w:b/>
          <w:bCs/>
          <w:color w:val="35424A"/>
          <w:sz w:val="19"/>
          <w:szCs w:val="19"/>
        </w:rPr>
        <w:t xml:space="preserve">Google Cloud Certified — Professional Data Engineer</w:t>
      </w:r>
    </w:p>
    <w:p>
      <w:pPr>
        <w:pBdr>
          <w:top w:val="single" w:color="D8DEE2" w:sz="4" w:space="4"/>
        </w:pBdr>
        <w:spacing w:after="120" w:before="60" w:line="240"/>
      </w:pPr>
      <w:r>
        <w:rPr>
          <w:rFonts w:ascii="Calibri" w:cs="Calibri" w:eastAsia="Calibri" w:hAnsi="Calibri"/>
          <w:color w:val="5A646C"/>
          <w:sz w:val="19"/>
          <w:szCs w:val="19"/>
        </w:rPr>
        <w:t xml:space="preserve">Pune, India</w:t>
      </w:r>
      <w:r>
        <w:rPr>
          <w:rFonts w:ascii="Calibri" w:cs="Calibri" w:eastAsia="Calibri" w:hAnsi="Calibri"/>
          <w:color w:val="D8DEE2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A646C"/>
          <w:sz w:val="19"/>
          <w:szCs w:val="19"/>
        </w:rPr>
        <w:t xml:space="preserve">+91 95522 36200</w:t>
      </w:r>
      <w:r>
        <w:rPr>
          <w:rFonts w:ascii="Calibri" w:cs="Calibri" w:eastAsia="Calibri" w:hAnsi="Calibri"/>
          <w:color w:val="D8DEE2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A646C"/>
          <w:sz w:val="19"/>
          <w:szCs w:val="19"/>
        </w:rPr>
        <w:t xml:space="preserve">kolisachint@gmail.com</w:t>
      </w:r>
      <w:r>
        <w:rPr>
          <w:rFonts w:ascii="Calibri" w:cs="Calibri" w:eastAsia="Calibri" w:hAnsi="Calibri"/>
          <w:color w:val="D8DEE2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A646C"/>
          <w:sz w:val="19"/>
          <w:szCs w:val="19"/>
        </w:rPr>
        <w:t xml:space="preserve">linkedin.com/in/kolisachint</w:t>
      </w:r>
      <w:r>
        <w:rPr>
          <w:rFonts w:ascii="Calibri" w:cs="Calibri" w:eastAsia="Calibri" w:hAnsi="Calibri"/>
          <w:color w:val="D8DEE2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A646C"/>
          <w:sz w:val="19"/>
          <w:szCs w:val="19"/>
        </w:rPr>
        <w:t xml:space="preserve">github.com/kolisachint</w:t>
      </w:r>
    </w:p>
    <w:p>
      <w:pPr>
        <w:keepNext/>
        <w:pBdr>
          <w:bottom w:val="single" w:color="0B5C4D" w:sz="6" w:space="2"/>
        </w:pBdr>
        <w:spacing w:after="70" w:before="80" w:line="240"/>
      </w:pPr>
      <w:r>
        <w:rPr>
          <w:rFonts w:ascii="Calibri" w:cs="Calibri" w:eastAsia="Calibri" w:hAnsi="Calibri"/>
          <w:b/>
          <w:bCs/>
          <w:color w:val="0B5C4D"/>
          <w:spacing w:val="22"/>
          <w:sz w:val="18"/>
          <w:szCs w:val="18"/>
        </w:rPr>
        <w:t xml:space="preserve">WHAT I DO</w:t>
      </w:r>
    </w:p>
    <w:p>
      <w:pPr>
        <w:keepNext w:val="false"/>
        <w:keepLines/>
        <w:spacing w:after="80" w:before="0" w:line="250"/>
        <w:jc w:val="left"/>
      </w:pPr>
      <w:r>
        <w:rPr>
          <w:rFonts w:ascii="Calibri" w:cs="Calibri" w:eastAsia="Calibri" w:hAnsi="Calibri"/>
          <w:i w:val="false"/>
          <w:iCs w:val="false"/>
          <w:color w:val="1A1D21"/>
          <w:sz w:val="21"/>
          <w:szCs w:val="21"/>
        </w:rPr>
        <w:t xml:space="preserve">I architect enterprise data platforms on Google Cloud. Right now that means the batch and real-time streaming platform for a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1"/>
          <w:szCs w:val="21"/>
        </w:rPr>
        <w:t xml:space="preserve">UK tier-1 retail bank</w:t>
      </w:r>
      <w:r>
        <w:rPr>
          <w:rFonts w:ascii="Calibri" w:cs="Calibri" w:eastAsia="Calibri" w:hAnsi="Calibri"/>
          <w:i w:val="false"/>
          <w:iCs w:val="false"/>
          <w:color w:val="1A1D21"/>
          <w:sz w:val="21"/>
          <w:szCs w:val="21"/>
        </w:rPr>
        <w:t xml:space="preserve"> — event-driven ingestion on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1"/>
          <w:szCs w:val="21"/>
        </w:rPr>
        <w:t xml:space="preserve">Confluent Kafka</w:t>
      </w:r>
      <w:r>
        <w:rPr>
          <w:rFonts w:ascii="Calibri" w:cs="Calibri" w:eastAsia="Calibri" w:hAnsi="Calibri"/>
          <w:i w:val="false"/>
          <w:iCs w:val="false"/>
          <w:color w:val="1A1D21"/>
          <w:sz w:val="21"/>
          <w:szCs w:val="21"/>
        </w:rPr>
        <w:t xml:space="preserve">, orchestration across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1"/>
          <w:szCs w:val="21"/>
        </w:rPr>
        <w:t xml:space="preserve">Cloud Composer</w:t>
      </w:r>
      <w:r>
        <w:rPr>
          <w:rFonts w:ascii="Calibri" w:cs="Calibri" w:eastAsia="Calibri" w:hAnsi="Calibri"/>
          <w:i w:val="false"/>
          <w:iCs w:val="false"/>
          <w:color w:val="1A1D21"/>
          <w:sz w:val="21"/>
          <w:szCs w:val="21"/>
        </w:rPr>
        <w:t xml:space="preserve"> and a legacy enterprise scheduler, modelling in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1"/>
          <w:szCs w:val="21"/>
        </w:rPr>
        <w:t xml:space="preserve">BigQuery and dbt</w:t>
      </w:r>
      <w:r>
        <w:rPr>
          <w:rFonts w:ascii="Calibri" w:cs="Calibri" w:eastAsia="Calibri" w:hAnsi="Calibri"/>
          <w:i w:val="false"/>
          <w:iCs w:val="false"/>
          <w:color w:val="1A1D21"/>
          <w:sz w:val="21"/>
          <w:szCs w:val="21"/>
        </w:rPr>
        <w:t xml:space="preserve">, the whole estate provisioned with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1"/>
          <w:szCs w:val="21"/>
        </w:rPr>
        <w:t xml:space="preserve">Terraform</w:t>
      </w:r>
      <w:r>
        <w:rPr>
          <w:rFonts w:ascii="Calibri" w:cs="Calibri" w:eastAsia="Calibri" w:hAnsi="Calibri"/>
          <w:i w:val="false"/>
          <w:iCs w:val="false"/>
          <w:color w:val="1A1D21"/>
          <w:sz w:val="21"/>
          <w:szCs w:val="21"/>
        </w:rPr>
        <w:t xml:space="preserve"> and deployed through CI/CD.</w:t>
      </w:r>
    </w:p>
    <w:p>
      <w:pPr>
        <w:keepNext w:val="false"/>
        <w:keepLines/>
        <w:spacing w:after="60" w:before="0" w:line="250"/>
        <w:jc w:val="left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The hard part is not the tools. It is making a modern cloud stack and a twenty-year-old on-premise estate agree with each other, reliably, every night.</w:t>
      </w:r>
    </w:p>
    <w:p>
      <w:pPr>
        <w:keepNext/>
        <w:pBdr>
          <w:bottom w:val="single" w:color="0B5C4D" w:sz="6" w:space="2"/>
        </w:pBdr>
        <w:spacing w:after="70" w:before="200" w:line="240"/>
      </w:pPr>
      <w:r>
        <w:rPr>
          <w:rFonts w:ascii="Calibri" w:cs="Calibri" w:eastAsia="Calibri" w:hAnsi="Calibri"/>
          <w:b/>
          <w:bCs/>
          <w:color w:val="0B5C4D"/>
          <w:spacing w:val="22"/>
          <w:sz w:val="18"/>
          <w:szCs w:val="18"/>
        </w:rPr>
        <w:t xml:space="preserve">THREE THINGS WORTH KNOWING</w:t>
      </w:r>
    </w:p>
    <w:p>
      <w:pPr>
        <w:keepNext/>
        <w:spacing w:after="10" w:before="130" w:line="240"/>
      </w:pPr>
      <w:r>
        <w:rPr>
          <w:rFonts w:ascii="Calibri" w:cs="Calibri" w:eastAsia="Calibri" w:hAnsi="Calibri"/>
          <w:b/>
          <w:bCs/>
          <w:color w:val="0B5C4D"/>
          <w:sz w:val="24"/>
          <w:szCs w:val="24"/>
        </w:rPr>
        <w:t xml:space="preserve">1   </w:t>
      </w:r>
      <w:r>
        <w:rPr>
          <w:rFonts w:ascii="Calibri" w:cs="Calibri" w:eastAsia="Calibri" w:hAnsi="Calibri"/>
          <w:b/>
          <w:bCs/>
          <w:color w:val="0B0D0F"/>
          <w:sz w:val="21"/>
          <w:szCs w:val="21"/>
        </w:rPr>
        <w:t xml:space="preserve">I have taken real money out of real systems.</w:t>
      </w:r>
    </w:p>
    <w:p>
      <w:pPr>
        <w:keepNext w:val="false"/>
        <w:keepLines/>
        <w:spacing w:after="40" w:before="0" w:line="250"/>
        <w:ind w:left="300"/>
        <w:jc w:val="left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A customer preference API I designed on GCP — App Engine, Pub/Sub, DataFlow, BigQuery — served millions of customers and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removed $600,000 a year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in operating cost. I also migrated an enterprise data lake from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Teradata to BigQuery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and replaced licensed tooling with cloud-native across five stacks.</w:t>
      </w:r>
    </w:p>
    <w:p>
      <w:pPr>
        <w:keepNext/>
        <w:spacing w:after="10" w:before="130" w:line="240"/>
      </w:pPr>
      <w:r>
        <w:rPr>
          <w:rFonts w:ascii="Calibri" w:cs="Calibri" w:eastAsia="Calibri" w:hAnsi="Calibri"/>
          <w:b/>
          <w:bCs/>
          <w:color w:val="0B5C4D"/>
          <w:sz w:val="24"/>
          <w:szCs w:val="24"/>
        </w:rPr>
        <w:t xml:space="preserve">2   </w:t>
      </w:r>
      <w:r>
        <w:rPr>
          <w:rFonts w:ascii="Calibri" w:cs="Calibri" w:eastAsia="Calibri" w:hAnsi="Calibri"/>
          <w:b/>
          <w:bCs/>
          <w:color w:val="0B0D0F"/>
          <w:sz w:val="21"/>
          <w:szCs w:val="21"/>
        </w:rPr>
        <w:t xml:space="preserve">Award-winning payments work.</w:t>
      </w:r>
    </w:p>
    <w:p>
      <w:pPr>
        <w:keepNext w:val="false"/>
        <w:keepLines/>
        <w:spacing w:after="40" w:before="0" w:line="250"/>
        <w:ind w:left="300"/>
        <w:jc w:val="left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Before the data platform I spent four years on digital cards at the same bank. The self-serve fraud journey I architected won at the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Banking Tech Awards 2024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and the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Card &amp; Payments Awards 2025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— it took fraud reporting out of the call-centre queue and gave it to the customer.</w:t>
      </w:r>
    </w:p>
    <w:p>
      <w:pPr>
        <w:keepNext/>
        <w:spacing w:after="10" w:before="130" w:line="240"/>
      </w:pPr>
      <w:r>
        <w:rPr>
          <w:rFonts w:ascii="Calibri" w:cs="Calibri" w:eastAsia="Calibri" w:hAnsi="Calibri"/>
          <w:b/>
          <w:bCs/>
          <w:color w:val="0B5C4D"/>
          <w:sz w:val="24"/>
          <w:szCs w:val="24"/>
        </w:rPr>
        <w:t xml:space="preserve">3   </w:t>
      </w:r>
      <w:r>
        <w:rPr>
          <w:rFonts w:ascii="Calibri" w:cs="Calibri" w:eastAsia="Calibri" w:hAnsi="Calibri"/>
          <w:b/>
          <w:bCs/>
          <w:color w:val="0B0D0F"/>
          <w:sz w:val="21"/>
          <w:szCs w:val="21"/>
        </w:rPr>
        <w:t xml:space="preserve">I ship applied AI in the open.</w:t>
      </w:r>
    </w:p>
    <w:p>
      <w:pPr>
        <w:keepNext w:val="false"/>
        <w:keepLines/>
        <w:spacing w:after="40" w:before="0" w:line="250"/>
        <w:ind w:left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hoocode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, a deterministic terminal coding agent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published to npm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, with a unified LLM API across 25+ providers. Underneath it, Rust: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embeddingsearchtools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— ONNX inference, an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HNSW index written from scratch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and BM25 fusion for hybrid retrieval — plus offline speech recognition and token-efficient web retrieval.  </w:t>
      </w:r>
      <w:r>
        <w:rPr>
          <w:rFonts w:ascii="Consolas" w:cs="Consolas" w:eastAsia="Consolas" w:hAnsi="Consolas"/>
          <w:i w:val="false"/>
          <w:iCs w:val="false"/>
          <w:color w:val="1A1D21"/>
          <w:sz w:val="19"/>
          <w:szCs w:val="19"/>
        </w:rPr>
        <w:t xml:space="preserve">github.com/kolisachint</w:t>
      </w:r>
    </w:p>
    <w:p>
      <w:pPr>
        <w:keepNext/>
        <w:pBdr>
          <w:bottom w:val="single" w:color="0B5C4D" w:sz="6" w:space="2"/>
        </w:pBdr>
        <w:spacing w:after="70" w:before="200" w:line="240"/>
      </w:pPr>
      <w:r>
        <w:rPr>
          <w:rFonts w:ascii="Calibri" w:cs="Calibri" w:eastAsia="Calibri" w:hAnsi="Calibri"/>
          <w:b/>
          <w:bCs/>
          <w:color w:val="0B5C4D"/>
          <w:spacing w:val="22"/>
          <w:sz w:val="18"/>
          <w:szCs w:val="18"/>
        </w:rPr>
        <w:t xml:space="preserve">THE STACK</w:t>
      </w:r>
    </w:p>
    <w:p>
      <w:pPr>
        <w:keepNext w:val="false"/>
        <w:keepLines/>
        <w:pBdr>
          <w:left w:val="single" w:color="0B5C4D" w:sz="12" w:space="6"/>
        </w:pBdr>
        <w:shd w:fill="F4F7F6" w:color="auto" w:val="clear"/>
        <w:spacing w:after="40" w:before="0" w:line="250"/>
        <w:jc w:val="left"/>
      </w:pPr>
      <w:r>
        <w:rPr>
          <w:rFonts w:ascii="Calibri" w:cs="Calibri" w:eastAsia="Calibri" w:hAnsi="Calibri"/>
          <w:i w:val="false"/>
          <w:iCs w:val="false"/>
          <w:color w:val="1A1D21"/>
          <w:sz w:val="19"/>
          <w:szCs w:val="19"/>
        </w:rPr>
        <w:t xml:space="preserve">GCP (BigQuery, Cloud Composer, DataFlow, Pub/Sub, App Engine)  ·  Confluent Kafka  ·  Apache Airflow  ·  dbt  ·  Terraform  ·  Python, SQL  ·  AWS  ·  microservices and API architecture  ·  Teradata, Oracle, Greenplum</w:t>
      </w:r>
    </w:p>
    <w:p>
      <w:pPr>
        <w:keepNext/>
        <w:pBdr>
          <w:bottom w:val="single" w:color="0B5C4D" w:sz="6" w:space="2"/>
        </w:pBdr>
        <w:spacing w:after="70" w:before="200" w:line="240"/>
      </w:pPr>
      <w:r>
        <w:rPr>
          <w:rFonts w:ascii="Calibri" w:cs="Calibri" w:eastAsia="Calibri" w:hAnsi="Calibri"/>
          <w:b/>
          <w:bCs/>
          <w:color w:val="0B5C4D"/>
          <w:spacing w:val="22"/>
          <w:sz w:val="18"/>
          <w:szCs w:val="18"/>
        </w:rPr>
        <w:t xml:space="preserve">WHAT I AM LOOKING FOR</w:t>
      </w:r>
    </w:p>
    <w:p>
      <w:pPr>
        <w:keepNext w:val="false"/>
        <w:keepLines/>
        <w:spacing w:after="60" w:before="0" w:line="250"/>
        <w:jc w:val="left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A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Solution / Data / Cloud Architect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role where the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data platform is the product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rather than the delivery vehicle — product companies, payments businesses, GCCs. Pune or Bengaluru, or remote. Especially interested in teams putting ML or retrieval on top of a serious data platform — that is the layer I already build for myself.</w:t>
      </w:r>
    </w:p>
    <w:p>
      <w:pPr>
        <w:keepNext/>
        <w:pBdr>
          <w:bottom w:val="single" w:color="0B5C4D" w:sz="6" w:space="2"/>
        </w:pBdr>
        <w:spacing w:after="70" w:before="200" w:line="240"/>
      </w:pPr>
      <w:r>
        <w:rPr>
          <w:rFonts w:ascii="Calibri" w:cs="Calibri" w:eastAsia="Calibri" w:hAnsi="Calibri"/>
          <w:b/>
          <w:bCs/>
          <w:color w:val="0B5C4D"/>
          <w:spacing w:val="22"/>
          <w:sz w:val="18"/>
          <w:szCs w:val="18"/>
        </w:rPr>
        <w:t xml:space="preserve">BACKGROUND</w:t>
      </w:r>
    </w:p>
    <w:p>
      <w:pPr>
        <w:keepNext w:val="false"/>
        <w:keepLines/>
        <w:spacing w:after="60" w:before="0" w:line="250"/>
        <w:jc w:val="left"/>
      </w:pPr>
      <w:r>
        <w:rPr>
          <w:rFonts w:ascii="Calibri" w:cs="Calibri" w:eastAsia="Calibri" w:hAnsi="Calibri"/>
          <w:i w:val="false"/>
          <w:iCs w:val="false"/>
          <w:color w:val="4A545C"/>
          <w:sz w:val="19"/>
          <w:szCs w:val="19"/>
        </w:rPr>
        <w:t xml:space="preserve">18 years, all in enterprise data  · 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19"/>
          <w:szCs w:val="19"/>
        </w:rPr>
        <w:t xml:space="preserve">Google Cloud Certified Professional Data Engineer</w:t>
      </w:r>
      <w:r>
        <w:rPr>
          <w:rFonts w:ascii="Calibri" w:cs="Calibri" w:eastAsia="Calibri" w:hAnsi="Calibri"/>
          <w:i w:val="false"/>
          <w:iCs w:val="false"/>
          <w:color w:val="4A545C"/>
          <w:sz w:val="19"/>
          <w:szCs w:val="19"/>
        </w:rPr>
        <w:t xml:space="preserve">  ·  BE Computer Science &amp; Engineering, Walchand College of Engineering, Sangli  ·  Currently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19"/>
          <w:szCs w:val="19"/>
        </w:rPr>
        <w:t xml:space="preserve">Tata Consultancy Services</w:t>
      </w:r>
      <w:r>
        <w:rPr>
          <w:rFonts w:ascii="Calibri" w:cs="Calibri" w:eastAsia="Calibri" w:hAnsi="Calibri"/>
          <w:i w:val="false"/>
          <w:iCs w:val="false"/>
          <w:color w:val="4A545C"/>
          <w:sz w:val="19"/>
          <w:szCs w:val="19"/>
        </w:rPr>
        <w:t xml:space="preserve">; previously Sears, Cognizant, Mahindra Satyam  ·  Clients: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19"/>
          <w:szCs w:val="19"/>
        </w:rPr>
        <w:t xml:space="preserve">Lloyds Banking Group, Sears Holdings, Saudi Telecom, Barclays, Telstra</w:t>
      </w:r>
    </w:p>
    <w:sectPr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  <w:lvl w:ilvl="1" w15:tentative="1">
      <w:start w:val="1"/>
      <w:numFmt w:val="bullet"/>
      <w:lvlText w:val="–"/>
      <w:lvlJc w:val="left"/>
      <w:pPr>
        <w:ind w:left="633" w:hanging="23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50"/>
    </w:pPr>
    <w:rPr>
      <w:rFonts w:ascii="Calibri" w:cs="Calibri" w:eastAsia="Calibri" w:hAnsi="Calibri"/>
      <w:color w:val="1A1D21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One Pager</dc:title>
  <dc:creator>Sachin Koli</dc:creator>
  <dc:description>Editable Word copy of Sachin_Koli_OnePager.pdf.</dc:description>
  <cp:lastModifiedBy>Un-named</cp:lastModifiedBy>
  <cp:revision>1</cp:revision>
  <dcterms:created xsi:type="dcterms:W3CDTF">2026-08-30T18:15:33.415Z</dcterms:created>
  <dcterms:modified xsi:type="dcterms:W3CDTF">2026-08-30T18:15:33.415Z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