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9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704850" cy="828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6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spacing w:after="20" w:line="260"/>
            </w:pPr>
            <w:r>
              <w:rPr>
                <w:rFonts w:ascii="Calibri" w:cs="Calibri" w:eastAsia="Calibri" w:hAnsi="Calibri"/>
                <w:b/>
                <w:bCs/>
                <w:color w:val="0B0D0F"/>
                <w:sz w:val="48"/>
                <w:szCs w:val="48"/>
              </w:rPr>
              <w:t xml:space="preserve">Sachin Koli</w:t>
            </w:r>
          </w:p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0B5C4D"/>
                <w:sz w:val="22"/>
                <w:szCs w:val="22"/>
              </w:rPr>
              <w:t xml:space="preserve">Solution Architect — Cloud Data &amp; AI Platforms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35424A"/>
                <w:sz w:val="17"/>
                <w:szCs w:val="17"/>
              </w:rPr>
              <w:t xml:space="preserve">Google Cloud Certified — Professional Data Engineer</w:t>
            </w:r>
            <w:r>
              <w:rPr>
                <w:rFonts w:ascii="Calibri" w:cs="Calibri" w:eastAsia="Calibri" w:hAnsi="Calibri"/>
                <w:color w:val="5A646C"/>
                <w:sz w:val="17"/>
                <w:szCs w:val="17"/>
              </w:rPr>
              <w:t xml:space="preserve"> · Cloud Architect in progress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5A646C"/>
                <w:sz w:val="16"/>
                <w:szCs w:val="16"/>
              </w:rPr>
              <w:t xml:space="preserve">Pune, India</w:t>
            </w:r>
          </w:p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5A646C"/>
                <w:sz w:val="16"/>
                <w:szCs w:val="16"/>
              </w:rPr>
              <w:t xml:space="preserve">+91 95522 36200</w:t>
            </w:r>
          </w:p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5A646C"/>
                <w:sz w:val="16"/>
                <w:szCs w:val="16"/>
              </w:rPr>
              <w:t xml:space="preserve">kolisachint@gmail.com</w:t>
            </w:r>
          </w:p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5A646C"/>
                <w:sz w:val="16"/>
                <w:szCs w:val="16"/>
              </w:rPr>
              <w:t xml:space="preserve">linkedin.com/in/kolisachint</w:t>
            </w:r>
          </w:p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5A646C"/>
                <w:sz w:val="16"/>
                <w:szCs w:val="16"/>
              </w:rPr>
              <w:t xml:space="preserve">github.com/kolisachint</w:t>
            </w:r>
          </w:p>
        </w:tc>
      </w:tr>
    </w:tbl>
    <w:p>
      <w:pPr>
        <w:pBdr>
          <w:bottom w:val="single" w:color="0B0D0F" w:sz="8" w:space="2"/>
        </w:pBdr>
        <w:spacing w:after="120" w:before="60" w:line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5%"/>
            <w:tcBorders>
              <w:top w:val="single" w:color="D8DEE2" w:sz="4"/>
              <w:left w:val="single" w:color="D8DEE2" w:sz="4"/>
              <w:bottom w:val="single" w:color="D8DEE2" w:sz="4"/>
              <w:right w:val="single" w:color="D8DEE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0B5C4D"/>
                <w:sz w:val="34"/>
                <w:szCs w:val="34"/>
              </w:rPr>
              <w:t xml:space="preserve">18 yrs</w:t>
            </w:r>
          </w:p>
          <w:p>
            <w:pPr>
              <w:spacing w:after="10" w:line="220"/>
            </w:pPr>
            <w:r>
              <w:rPr>
                <w:rFonts w:ascii="Calibri" w:cs="Calibri" w:eastAsia="Calibri" w:hAnsi="Calibri"/>
                <w:b/>
                <w:bCs/>
                <w:color w:val="0B0D0F"/>
                <w:sz w:val="18"/>
                <w:szCs w:val="18"/>
              </w:rPr>
              <w:t xml:space="preserve">Enterprise data &amp; cloud</w:t>
            </w:r>
          </w:p>
          <w:p>
            <w:pPr>
              <w:spacing w:after="0" w:line="220"/>
            </w:pPr>
            <w:r>
              <w:rPr>
                <w:rFonts w:ascii="Calibri" w:cs="Calibri" w:eastAsia="Calibri" w:hAnsi="Calibri"/>
                <w:color w:val="5A646C"/>
                <w:sz w:val="16"/>
                <w:szCs w:val="16"/>
              </w:rPr>
              <w:t xml:space="preserve">Banking · Retail · Telecom</w:t>
            </w:r>
          </w:p>
        </w:tc>
        <w:tc>
          <w:tcPr>
            <w:tcW w:type="pct" w:w="25%"/>
            <w:tcBorders>
              <w:top w:val="single" w:color="D8DEE2" w:sz="4"/>
              <w:left w:val="single" w:color="D8DEE2" w:sz="4"/>
              <w:bottom w:val="single" w:color="D8DEE2" w:sz="4"/>
              <w:right w:val="single" w:color="D8DEE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0B5C4D"/>
                <w:sz w:val="34"/>
                <w:szCs w:val="34"/>
              </w:rPr>
              <w:t xml:space="preserve">$600K</w:t>
            </w:r>
          </w:p>
          <w:p>
            <w:pPr>
              <w:spacing w:after="10" w:line="220"/>
            </w:pPr>
            <w:r>
              <w:rPr>
                <w:rFonts w:ascii="Calibri" w:cs="Calibri" w:eastAsia="Calibri" w:hAnsi="Calibri"/>
                <w:b/>
                <w:bCs/>
                <w:color w:val="0B0D0F"/>
                <w:sz w:val="18"/>
                <w:szCs w:val="18"/>
              </w:rPr>
              <w:t xml:space="preserve">Annual cost removed</w:t>
            </w:r>
          </w:p>
          <w:p>
            <w:pPr>
              <w:spacing w:after="0" w:line="220"/>
            </w:pPr>
            <w:r>
              <w:rPr>
                <w:rFonts w:ascii="Calibri" w:cs="Calibri" w:eastAsia="Calibri" w:hAnsi="Calibri"/>
                <w:color w:val="5A646C"/>
                <w:sz w:val="16"/>
                <w:szCs w:val="16"/>
              </w:rPr>
              <w:t xml:space="preserve">Preference Center API on GCP, Sears</w:t>
            </w:r>
          </w:p>
        </w:tc>
        <w:tc>
          <w:tcPr>
            <w:tcW w:type="pct" w:w="25%"/>
            <w:tcBorders>
              <w:top w:val="single" w:color="D8DEE2" w:sz="4"/>
              <w:left w:val="single" w:color="D8DEE2" w:sz="4"/>
              <w:bottom w:val="single" w:color="D8DEE2" w:sz="4"/>
              <w:right w:val="single" w:color="D8DEE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0B5C4D"/>
                <w:sz w:val="34"/>
                <w:szCs w:val="34"/>
              </w:rPr>
              <w:t xml:space="preserve">2024</w:t>
            </w:r>
          </w:p>
          <w:p>
            <w:pPr>
              <w:spacing w:after="10" w:line="220"/>
            </w:pPr>
            <w:r>
              <w:rPr>
                <w:rFonts w:ascii="Calibri" w:cs="Calibri" w:eastAsia="Calibri" w:hAnsi="Calibri"/>
                <w:b/>
                <w:bCs/>
                <w:color w:val="0B0D0F"/>
                <w:sz w:val="18"/>
                <w:szCs w:val="18"/>
              </w:rPr>
              <w:t xml:space="preserve">Banking Tech Awards</w:t>
            </w:r>
          </w:p>
          <w:p>
            <w:pPr>
              <w:spacing w:after="0" w:line="220"/>
            </w:pPr>
            <w:r>
              <w:rPr>
                <w:rFonts w:ascii="Calibri" w:cs="Calibri" w:eastAsia="Calibri" w:hAnsi="Calibri"/>
                <w:color w:val="5A646C"/>
                <w:sz w:val="16"/>
                <w:szCs w:val="16"/>
              </w:rPr>
              <w:t xml:space="preserve">Self-serve fraud journey — architect</w:t>
            </w:r>
          </w:p>
        </w:tc>
        <w:tc>
          <w:tcPr>
            <w:tcW w:type="pct" w:w="25%"/>
            <w:tcBorders>
              <w:top w:val="single" w:color="D8DEE2" w:sz="4"/>
              <w:left w:val="single" w:color="D8DEE2" w:sz="4"/>
              <w:bottom w:val="single" w:color="D8DEE2" w:sz="4"/>
              <w:right w:val="single" w:color="D8DEE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0B5C4D"/>
                <w:sz w:val="34"/>
                <w:szCs w:val="34"/>
              </w:rPr>
              <w:t xml:space="preserve">2025</w:t>
            </w:r>
          </w:p>
          <w:p>
            <w:pPr>
              <w:spacing w:after="10" w:line="220"/>
            </w:pPr>
            <w:r>
              <w:rPr>
                <w:rFonts w:ascii="Calibri" w:cs="Calibri" w:eastAsia="Calibri" w:hAnsi="Calibri"/>
                <w:b/>
                <w:bCs/>
                <w:color w:val="0B0D0F"/>
                <w:sz w:val="18"/>
                <w:szCs w:val="18"/>
              </w:rPr>
              <w:t xml:space="preserve">Card &amp; Payments Awards</w:t>
            </w:r>
          </w:p>
          <w:p>
            <w:pPr>
              <w:spacing w:after="0" w:line="220"/>
            </w:pPr>
            <w:r>
              <w:rPr>
                <w:rFonts w:ascii="Calibri" w:cs="Calibri" w:eastAsia="Calibri" w:hAnsi="Calibri"/>
                <w:color w:val="5A646C"/>
                <w:sz w:val="16"/>
                <w:szCs w:val="16"/>
              </w:rPr>
              <w:t xml:space="preserve">Self-serve fraud journey — architect</w:t>
            </w:r>
          </w:p>
        </w:tc>
      </w:tr>
    </w:tbl>
    <w:p>
      <w:pPr>
        <w:spacing w:after="160" w:line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 w:val="false"/>
        </w:trPr>
        <w:tc>
          <w:tcPr>
            <w:tcW w:type="pct" w:w="36%"/>
            <w:tcBorders>
              <w:top w:val="none" w:color="FFFFFF" w:sz="0"/>
              <w:left w:val="none" w:color="FFFFFF" w:sz="0"/>
              <w:bottom w:val="none" w:color="FFFFFF" w:sz="0"/>
              <w:right w:val="single" w:color="D8DEE2" w:sz="4"/>
            </w:tcBorders>
            <w:tcMar>
              <w:top w:type="dxa" w:w="0"/>
              <w:left w:type="dxa" w:w="0"/>
              <w:bottom w:type="dxa" w:w="0"/>
              <w:right w:type="dxa" w:w="200"/>
            </w:tcMar>
          </w:tcPr>
          <w:p>
            <w:pPr>
              <w:keepNext/>
              <w:pBdr>
                <w:bottom w:val="single" w:color="0B5C4D" w:sz="6" w:space="2"/>
              </w:pBdr>
              <w:spacing w:after="60" w:before="0" w:line="240"/>
            </w:pPr>
            <w:r>
              <w:rPr>
                <w:rFonts w:ascii="Calibri" w:cs="Calibri" w:eastAsia="Calibri" w:hAnsi="Calibri"/>
                <w:b/>
                <w:bCs/>
                <w:color w:val="0B5C4D"/>
                <w:spacing w:val="20"/>
                <w:sz w:val="17"/>
                <w:szCs w:val="17"/>
              </w:rPr>
              <w:t xml:space="preserve">WHAT I BUILD</w:t>
            </w:r>
          </w:p>
          <w:p>
            <w:pPr>
              <w:keepNext/>
              <w:spacing w:after="10" w:before="90" w:line="230"/>
            </w:pPr>
            <w:r>
              <w:rPr>
                <w:rFonts w:ascii="Calibri" w:cs="Calibri" w:eastAsia="Calibri" w:hAnsi="Calibri"/>
                <w:b/>
                <w:bCs/>
                <w:color w:val="0B0D0F"/>
                <w:sz w:val="19"/>
                <w:szCs w:val="19"/>
              </w:rPr>
              <w:t xml:space="preserve">Cloud Data Platform  </w:t>
            </w:r>
            <w:r>
              <w:rPr>
                <w:rFonts w:ascii="Calibri" w:cs="Calibri" w:eastAsia="Calibri" w:hAnsi="Calibri"/>
                <w:i/>
                <w:iCs/>
                <w:color w:val="5A646C"/>
                <w:sz w:val="16"/>
                <w:szCs w:val="16"/>
              </w:rPr>
              <w:t xml:space="preserve">2025 —</w:t>
            </w:r>
          </w:p>
          <w:p>
            <w:pPr>
              <w:spacing w:after="20" w:line="230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7"/>
                <w:szCs w:val="17"/>
              </w:rPr>
              <w:t xml:space="preserve">Architect of the batch and real-time streaming platform for a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D0F"/>
                <w:sz w:val="17"/>
                <w:szCs w:val="17"/>
              </w:rPr>
              <w:t xml:space="preserve">UK tier-1 retail bank</w:t>
            </w: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7"/>
                <w:szCs w:val="17"/>
              </w:rPr>
              <w:t xml:space="preserve">. Event-driven ingestion, hybrid orchestration bridging a legacy enterprise scheduler with cloud workflows, modelled warehouse, provisioned as code.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0B5C4D"/>
                <w:sz w:val="15"/>
                <w:szCs w:val="15"/>
              </w:rPr>
              <w:t xml:space="preserve">Confluent Kafka · Cloud Composer · Airflow · dbt · BigQuery · Terraform · CI/CD</w:t>
            </w:r>
          </w:p>
          <w:p>
            <w:pPr>
              <w:keepNext/>
              <w:spacing w:after="10" w:before="90" w:line="230"/>
            </w:pPr>
            <w:r>
              <w:rPr>
                <w:rFonts w:ascii="Calibri" w:cs="Calibri" w:eastAsia="Calibri" w:hAnsi="Calibri"/>
                <w:b/>
                <w:bCs/>
                <w:color w:val="0B0D0F"/>
                <w:sz w:val="19"/>
                <w:szCs w:val="19"/>
              </w:rPr>
              <w:t xml:space="preserve">Applied AI  </w:t>
            </w:r>
            <w:r>
              <w:rPr>
                <w:rFonts w:ascii="Calibri" w:cs="Calibri" w:eastAsia="Calibri" w:hAnsi="Calibri"/>
                <w:i/>
                <w:iCs/>
                <w:color w:val="5A646C"/>
                <w:sz w:val="16"/>
                <w:szCs w:val="16"/>
              </w:rPr>
              <w:t xml:space="preserve">open source</w:t>
            </w:r>
          </w:p>
          <w:p>
            <w:pPr>
              <w:spacing w:after="20" w:line="230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7"/>
                <w:szCs w:val="17"/>
              </w:rPr>
              <w:t xml:space="preserve">A published agent ecosystem: a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D0F"/>
                <w:sz w:val="17"/>
                <w:szCs w:val="17"/>
              </w:rPr>
              <w:t xml:space="preserve">terminal coding agent on npm</w:t>
            </w: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7"/>
                <w:szCs w:val="17"/>
              </w:rPr>
              <w:t xml:space="preserve">, and the Rust beneath it — embedding search with an ANN index written from scratch, offline speech recognition, token-efficient web retrieval.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0B5C4D"/>
                <w:sz w:val="15"/>
                <w:szCs w:val="15"/>
              </w:rPr>
              <w:t xml:space="preserve">Rust · TypeScript · ONNX Runtime · HNSW · BM25 hybrid retrieval · MCP · 25+ LLM providers</w:t>
            </w:r>
          </w:p>
          <w:p>
            <w:pPr>
              <w:keepNext/>
              <w:spacing w:after="10" w:before="90" w:line="230"/>
            </w:pPr>
            <w:r>
              <w:rPr>
                <w:rFonts w:ascii="Calibri" w:cs="Calibri" w:eastAsia="Calibri" w:hAnsi="Calibri"/>
                <w:b/>
                <w:bCs/>
                <w:color w:val="0B0D0F"/>
                <w:sz w:val="19"/>
                <w:szCs w:val="19"/>
              </w:rPr>
              <w:t xml:space="preserve">Payments &amp; Cards  </w:t>
            </w:r>
            <w:r>
              <w:rPr>
                <w:rFonts w:ascii="Calibri" w:cs="Calibri" w:eastAsia="Calibri" w:hAnsi="Calibri"/>
                <w:i/>
                <w:iCs/>
                <w:color w:val="5A646C"/>
                <w:sz w:val="16"/>
                <w:szCs w:val="16"/>
              </w:rPr>
              <w:t xml:space="preserve">2022 — 2025</w:t>
            </w:r>
          </w:p>
          <w:p>
            <w:pPr>
              <w:spacing w:after="20" w:line="230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7"/>
                <w:szCs w:val="17"/>
              </w:rPr>
              <w:t xml:space="preserve">Led modernisation of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D0F"/>
                <w:sz w:val="17"/>
                <w:szCs w:val="17"/>
              </w:rPr>
              <w:t xml:space="preserve">Digital Cards</w:t>
            </w: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7"/>
                <w:szCs w:val="17"/>
              </w:rPr>
              <w:t xml:space="preserve"> — Add to Wallet, card controls, View PIN — from on-premise to GCP, with the secure microservice and cross-cloud API patterns a regulated estate needs.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0B5C4D"/>
                <w:sz w:val="15"/>
                <w:szCs w:val="15"/>
              </w:rPr>
              <w:t xml:space="preserve">GCP · microservices · API gateways · containerisation · compliance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single" w:color="D8DEE2" w:sz="4"/>
            </w:tcBorders>
            <w:tcMar>
              <w:top w:type="dxa" w:w="0"/>
              <w:left w:type="dxa" w:w="0"/>
              <w:bottom w:type="dxa" w:w="0"/>
              <w:right w:type="dxa" w:w="200"/>
            </w:tcMar>
          </w:tcPr>
          <w:p>
            <w:pPr>
              <w:keepNext/>
              <w:pBdr>
                <w:bottom w:val="single" w:color="0B5C4D" w:sz="6" w:space="2"/>
              </w:pBdr>
              <w:spacing w:after="60" w:before="0" w:line="240"/>
            </w:pPr>
            <w:r>
              <w:rPr>
                <w:rFonts w:ascii="Calibri" w:cs="Calibri" w:eastAsia="Calibri" w:hAnsi="Calibri"/>
                <w:b/>
                <w:bCs/>
                <w:color w:val="0B5C4D"/>
                <w:spacing w:val="20"/>
                <w:sz w:val="17"/>
                <w:szCs w:val="17"/>
              </w:rPr>
              <w:t xml:space="preserve">SHIPPED, IN PUBLIC  ·  GITHUB.COM/KOLISACHINT</w:t>
            </w:r>
          </w:p>
          <w:p>
            <w:pPr>
              <w:keepNext/>
              <w:spacing w:after="10" w:before="90" w:line="230"/>
            </w:pPr>
            <w:r>
              <w:rPr>
                <w:rFonts w:ascii="Consolas" w:cs="Consolas" w:eastAsia="Consolas" w:hAnsi="Consolas"/>
                <w:b/>
                <w:bCs/>
                <w:color w:val="0B0D0F"/>
                <w:sz w:val="19"/>
                <w:szCs w:val="19"/>
              </w:rPr>
              <w:t xml:space="preserve">hoocode</w:t>
            </w:r>
            <w:r>
              <w:rPr>
                <w:rFonts w:ascii="Consolas" w:cs="Consolas" w:eastAsia="Consolas" w:hAnsi="Consolas"/>
                <w:color w:val="5A646C"/>
                <w:sz w:val="15"/>
                <w:szCs w:val="15"/>
              </w:rPr>
              <w:t xml:space="preserve">   TypeScript · npm</w:t>
            </w:r>
          </w:p>
          <w:p>
            <w:pPr>
              <w:spacing w:after="0" w:line="230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7"/>
                <w:szCs w:val="17"/>
              </w:rPr>
              <w:t xml:space="preserve">Deterministic terminal coding agent. Permission gate on every edit and command; four scoped modes; MCP servers and subagents. Four packages, including a unified LLM API across 25+ providers.</w:t>
            </w:r>
          </w:p>
          <w:p>
            <w:pPr>
              <w:keepNext/>
              <w:spacing w:after="10" w:before="90" w:line="230"/>
            </w:pPr>
            <w:r>
              <w:rPr>
                <w:rFonts w:ascii="Consolas" w:cs="Consolas" w:eastAsia="Consolas" w:hAnsi="Consolas"/>
                <w:b/>
                <w:bCs/>
                <w:color w:val="0B0D0F"/>
                <w:sz w:val="19"/>
                <w:szCs w:val="19"/>
              </w:rPr>
              <w:t xml:space="preserve">embeddingsearchtools</w:t>
            </w:r>
            <w:r>
              <w:rPr>
                <w:rFonts w:ascii="Consolas" w:cs="Consolas" w:eastAsia="Consolas" w:hAnsi="Consolas"/>
                <w:color w:val="5A646C"/>
                <w:sz w:val="15"/>
                <w:szCs w:val="15"/>
              </w:rPr>
              <w:t xml:space="preserve">   Rust</w:t>
            </w:r>
          </w:p>
          <w:p>
            <w:pPr>
              <w:spacing w:after="0" w:line="230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7"/>
                <w:szCs w:val="17"/>
              </w:rPr>
              <w:t xml:space="preserve">Embedding search engine. MiniLM via ONNX Runtime, int8 weights bundled into the binary; exact and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D0F"/>
                <w:sz w:val="17"/>
                <w:szCs w:val="17"/>
              </w:rPr>
              <w:t xml:space="preserve">HNSW approximate</w:t>
            </w: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7"/>
                <w:szCs w:val="17"/>
              </w:rPr>
              <w:t xml:space="preserve"> indexes; BM25 lexical fusion for hybrid retrieval; mmap store, CLI and daemon.</w:t>
            </w:r>
          </w:p>
          <w:p>
            <w:pPr>
              <w:keepNext/>
              <w:spacing w:after="10" w:before="90" w:line="230"/>
            </w:pPr>
            <w:r>
              <w:rPr>
                <w:rFonts w:ascii="Consolas" w:cs="Consolas" w:eastAsia="Consolas" w:hAnsi="Consolas"/>
                <w:b/>
                <w:bCs/>
                <w:color w:val="0B0D0F"/>
                <w:sz w:val="19"/>
                <w:szCs w:val="19"/>
              </w:rPr>
              <w:t xml:space="preserve">voicetools</w:t>
            </w:r>
            <w:r>
              <w:rPr>
                <w:rFonts w:ascii="Consolas" w:cs="Consolas" w:eastAsia="Consolas" w:hAnsi="Consolas"/>
                <w:color w:val="5A646C"/>
                <w:sz w:val="15"/>
                <w:szCs w:val="15"/>
              </w:rPr>
              <w:t xml:space="preserve">   Rust</w:t>
            </w:r>
          </w:p>
          <w:p>
            <w:pPr>
              <w:spacing w:after="0" w:line="230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7"/>
                <w:szCs w:val="17"/>
              </w:rPr>
              <w:t xml:space="preserve">Offline speech-to-text. Microphone capture through voice-activity detection into Parakeet-TDT on ONNX Runtime, 25 languages, Whisper fallback.</w:t>
            </w:r>
          </w:p>
          <w:p>
            <w:pPr>
              <w:keepNext/>
              <w:spacing w:after="10" w:before="90" w:line="230"/>
            </w:pPr>
            <w:r>
              <w:rPr>
                <w:rFonts w:ascii="Consolas" w:cs="Consolas" w:eastAsia="Consolas" w:hAnsi="Consolas"/>
                <w:b/>
                <w:bCs/>
                <w:color w:val="0B0D0F"/>
                <w:sz w:val="19"/>
                <w:szCs w:val="19"/>
              </w:rPr>
              <w:t xml:space="preserve">webtools</w:t>
            </w:r>
            <w:r>
              <w:rPr>
                <w:rFonts w:ascii="Consolas" w:cs="Consolas" w:eastAsia="Consolas" w:hAnsi="Consolas"/>
                <w:color w:val="5A646C"/>
                <w:sz w:val="15"/>
                <w:szCs w:val="15"/>
              </w:rPr>
              <w:t xml:space="preserve">   Rust</w:t>
            </w:r>
          </w:p>
          <w:p>
            <w:pPr>
              <w:spacing w:after="0" w:line="230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7"/>
                <w:szCs w:val="17"/>
              </w:rPr>
              <w:t xml:space="preserve">Token-efficient fetch and search for LLM agents. Reference-style URL preservation turns links into single-token markers under a token budget.</w:t>
            </w:r>
          </w:p>
        </w:tc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0"/>
              <w:right w:type="dxa" w:w="0"/>
            </w:tcMar>
          </w:tcPr>
          <w:p>
            <w:pPr>
              <w:keepNext/>
              <w:pBdr>
                <w:bottom w:val="single" w:color="0B5C4D" w:sz="6" w:space="2"/>
              </w:pBdr>
              <w:spacing w:after="60" w:before="0" w:line="240"/>
            </w:pPr>
            <w:r>
              <w:rPr>
                <w:rFonts w:ascii="Calibri" w:cs="Calibri" w:eastAsia="Calibri" w:hAnsi="Calibri"/>
                <w:b/>
                <w:bCs/>
                <w:color w:val="0B5C4D"/>
                <w:spacing w:val="20"/>
                <w:sz w:val="17"/>
                <w:szCs w:val="17"/>
              </w:rPr>
              <w:t xml:space="preserve">CLIENTS</w:t>
            </w:r>
          </w:p>
          <w:p>
            <w:pPr>
              <w:spacing w:after="40" w:line="230"/>
            </w:pPr>
            <w:r>
              <w:rPr>
                <w:rFonts w:ascii="Consolas" w:cs="Consolas" w:eastAsia="Consolas" w:hAnsi="Consolas"/>
                <w:color w:val="5A646C"/>
                <w:sz w:val="15"/>
                <w:szCs w:val="15"/>
              </w:rPr>
              <w:t xml:space="preserve">Banking UK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B0D0F"/>
                <w:sz w:val="18"/>
                <w:szCs w:val="18"/>
              </w:rPr>
              <w:t xml:space="preserve">Lloyds Banking Group</w:t>
            </w:r>
          </w:p>
          <w:p>
            <w:pPr>
              <w:spacing w:after="40" w:line="230"/>
            </w:pPr>
            <w:r>
              <w:rPr>
                <w:rFonts w:ascii="Consolas" w:cs="Consolas" w:eastAsia="Consolas" w:hAnsi="Consolas"/>
                <w:color w:val="5A646C"/>
                <w:sz w:val="15"/>
                <w:szCs w:val="15"/>
              </w:rPr>
              <w:t xml:space="preserve">Retail US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B0D0F"/>
                <w:sz w:val="18"/>
                <w:szCs w:val="18"/>
              </w:rPr>
              <w:t xml:space="preserve">Sears Holdings</w:t>
            </w:r>
          </w:p>
          <w:p>
            <w:pPr>
              <w:spacing w:after="40" w:line="230"/>
            </w:pPr>
            <w:r>
              <w:rPr>
                <w:rFonts w:ascii="Consolas" w:cs="Consolas" w:eastAsia="Consolas" w:hAnsi="Consolas"/>
                <w:color w:val="5A646C"/>
                <w:sz w:val="15"/>
                <w:szCs w:val="15"/>
              </w:rPr>
              <w:t xml:space="preserve">Telecom SAU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B0D0F"/>
                <w:sz w:val="18"/>
                <w:szCs w:val="18"/>
              </w:rPr>
              <w:t xml:space="preserve">Saudi Telecom</w:t>
            </w:r>
          </w:p>
          <w:p>
            <w:pPr>
              <w:spacing w:after="40" w:line="230"/>
            </w:pPr>
            <w:r>
              <w:rPr>
                <w:rFonts w:ascii="Consolas" w:cs="Consolas" w:eastAsia="Consolas" w:hAnsi="Consolas"/>
                <w:color w:val="5A646C"/>
                <w:sz w:val="15"/>
                <w:szCs w:val="15"/>
              </w:rPr>
              <w:t xml:space="preserve">Banking UK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B0D0F"/>
                <w:sz w:val="18"/>
                <w:szCs w:val="18"/>
              </w:rPr>
              <w:t xml:space="preserve">Barclays</w:t>
            </w:r>
          </w:p>
          <w:p>
            <w:pPr>
              <w:spacing w:after="40" w:line="230"/>
            </w:pPr>
            <w:r>
              <w:rPr>
                <w:rFonts w:ascii="Consolas" w:cs="Consolas" w:eastAsia="Consolas" w:hAnsi="Consolas"/>
                <w:color w:val="5A646C"/>
                <w:sz w:val="15"/>
                <w:szCs w:val="15"/>
              </w:rPr>
              <w:t xml:space="preserve">Telecom AU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B0D0F"/>
                <w:sz w:val="18"/>
                <w:szCs w:val="18"/>
              </w:rPr>
              <w:t xml:space="preserve">Telstra</w:t>
            </w:r>
          </w:p>
          <w:p>
            <w:pPr>
              <w:keepNext/>
              <w:pBdr>
                <w:bottom w:val="single" w:color="0B5C4D" w:sz="6" w:space="2"/>
              </w:pBdr>
              <w:spacing w:after="60" w:before="160" w:line="240"/>
            </w:pPr>
            <w:r>
              <w:rPr>
                <w:rFonts w:ascii="Calibri" w:cs="Calibri" w:eastAsia="Calibri" w:hAnsi="Calibri"/>
                <w:b/>
                <w:bCs/>
                <w:color w:val="0B5C4D"/>
                <w:spacing w:val="20"/>
                <w:sz w:val="17"/>
                <w:szCs w:val="17"/>
              </w:rPr>
              <w:t xml:space="preserve">TRACK</w:t>
            </w:r>
          </w:p>
          <w:p>
            <w:pPr>
              <w:spacing w:after="40" w:line="230"/>
            </w:pPr>
            <w:r>
              <w:rPr>
                <w:rFonts w:ascii="Consolas" w:cs="Consolas" w:eastAsia="Consolas" w:hAnsi="Consolas"/>
                <w:color w:val="5A646C"/>
                <w:sz w:val="15"/>
                <w:szCs w:val="15"/>
              </w:rPr>
              <w:t xml:space="preserve">2021—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B0D0F"/>
                <w:sz w:val="18"/>
                <w:szCs w:val="18"/>
              </w:rPr>
              <w:t xml:space="preserve">Tata Consultancy Services</w:t>
            </w:r>
            <w:r>
              <w:rPr>
                <w:rFonts w:ascii="Calibri" w:cs="Calibri" w:eastAsia="Calibri" w:hAnsi="Calibri"/>
                <w:color w:val="5A646C"/>
                <w:sz w:val="16"/>
                <w:szCs w:val="16"/>
              </w:rPr>
              <w:t xml:space="preserve">  Solution Architect</w:t>
            </w:r>
          </w:p>
          <w:p>
            <w:pPr>
              <w:spacing w:after="40" w:line="230"/>
            </w:pPr>
            <w:r>
              <w:rPr>
                <w:rFonts w:ascii="Consolas" w:cs="Consolas" w:eastAsia="Consolas" w:hAnsi="Consolas"/>
                <w:color w:val="5A646C"/>
                <w:sz w:val="15"/>
                <w:szCs w:val="15"/>
              </w:rPr>
              <w:t xml:space="preserve">2018—21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B0D0F"/>
                <w:sz w:val="18"/>
                <w:szCs w:val="18"/>
              </w:rPr>
              <w:t xml:space="preserve">Sears India</w:t>
            </w:r>
            <w:r>
              <w:rPr>
                <w:rFonts w:ascii="Calibri" w:cs="Calibri" w:eastAsia="Calibri" w:hAnsi="Calibri"/>
                <w:color w:val="5A646C"/>
                <w:sz w:val="16"/>
                <w:szCs w:val="16"/>
              </w:rPr>
              <w:t xml:space="preserve">  Architect</w:t>
            </w:r>
          </w:p>
          <w:p>
            <w:pPr>
              <w:spacing w:after="40" w:line="230"/>
            </w:pPr>
            <w:r>
              <w:rPr>
                <w:rFonts w:ascii="Consolas" w:cs="Consolas" w:eastAsia="Consolas" w:hAnsi="Consolas"/>
                <w:color w:val="5A646C"/>
                <w:sz w:val="15"/>
                <w:szCs w:val="15"/>
              </w:rPr>
              <w:t xml:space="preserve">2010—18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B0D0F"/>
                <w:sz w:val="18"/>
                <w:szCs w:val="18"/>
              </w:rPr>
              <w:t xml:space="preserve">Cognizant</w:t>
            </w:r>
            <w:r>
              <w:rPr>
                <w:rFonts w:ascii="Calibri" w:cs="Calibri" w:eastAsia="Calibri" w:hAnsi="Calibri"/>
                <w:color w:val="5A646C"/>
                <w:sz w:val="16"/>
                <w:szCs w:val="16"/>
              </w:rPr>
              <w:t xml:space="preserve">  Sr. Associate — Projects</w:t>
            </w:r>
          </w:p>
          <w:p>
            <w:pPr>
              <w:spacing w:after="40" w:line="230"/>
            </w:pPr>
            <w:r>
              <w:rPr>
                <w:rFonts w:ascii="Consolas" w:cs="Consolas" w:eastAsia="Consolas" w:hAnsi="Consolas"/>
                <w:color w:val="5A646C"/>
                <w:sz w:val="15"/>
                <w:szCs w:val="15"/>
              </w:rPr>
              <w:t xml:space="preserve">2008—10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B0D0F"/>
                <w:sz w:val="18"/>
                <w:szCs w:val="18"/>
              </w:rPr>
              <w:t xml:space="preserve">Mahindra Satyam</w:t>
            </w:r>
            <w:r>
              <w:rPr>
                <w:rFonts w:ascii="Calibri" w:cs="Calibri" w:eastAsia="Calibri" w:hAnsi="Calibri"/>
                <w:color w:val="5A646C"/>
                <w:sz w:val="16"/>
                <w:szCs w:val="16"/>
              </w:rPr>
              <w:t xml:space="preserve">  Software Developer</w:t>
            </w:r>
          </w:p>
          <w:p>
            <w:pPr>
              <w:spacing w:after="40" w:line="230"/>
            </w:pPr>
            <w:r>
              <w:rPr>
                <w:rFonts w:ascii="Consolas" w:cs="Consolas" w:eastAsia="Consolas" w:hAnsi="Consolas"/>
                <w:color w:val="5A646C"/>
                <w:sz w:val="15"/>
                <w:szCs w:val="15"/>
              </w:rPr>
              <w:t xml:space="preserve">2003—07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B0D0F"/>
                <w:sz w:val="18"/>
                <w:szCs w:val="18"/>
              </w:rPr>
              <w:t xml:space="preserve">BE Computer Science</w:t>
            </w:r>
            <w:r>
              <w:rPr>
                <w:rFonts w:ascii="Calibri" w:cs="Calibri" w:eastAsia="Calibri" w:hAnsi="Calibri"/>
                <w:color w:val="5A646C"/>
                <w:sz w:val="16"/>
                <w:szCs w:val="16"/>
              </w:rPr>
              <w:t xml:space="preserve">  Walchand COE, Sangli</w:t>
            </w:r>
          </w:p>
        </w:tc>
      </w:tr>
    </w:tbl>
    <w:p>
      <w:pPr>
        <w:pBdr>
          <w:top w:val="single" w:color="D8DEE2" w:sz="4" w:space="4"/>
        </w:pBdr>
        <w:spacing w:after="0" w:before="200" w:line="220"/>
      </w:pPr>
      <w:r>
        <w:rPr>
          <w:rFonts w:ascii="Calibri" w:cs="Calibri" w:eastAsia="Calibri" w:hAnsi="Calibri"/>
          <w:color w:val="5A646C"/>
          <w:sz w:val="15"/>
          <w:szCs w:val="15"/>
        </w:rPr>
        <w:t xml:space="preserve">Sachin Koli — Solution Architect, Cloud Data &amp; AI Platforms</w:t>
      </w:r>
      <w:r>
        <w:rPr>
          <w:rFonts w:ascii="Consolas" w:cs="Consolas" w:eastAsia="Consolas" w:hAnsi="Consolas"/>
          <w:color w:val="5A646C"/>
          <w:sz w:val="15"/>
          <w:szCs w:val="15"/>
        </w:rPr>
        <w:t xml:space="preserve">        github.com/kolisachint</w:t>
      </w:r>
    </w:p>
    <w:sectPr>
      <w:pgSz w:w="16838" w:h="11906" w:orient="landscape"/>
      <w:pgMar w:top="560" w:right="620" w:bottom="50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  <w:lvl w:ilvl="1" w15:tentative="1">
      <w:start w:val="1"/>
      <w:numFmt w:val="bullet"/>
      <w:lvlText w:val="–"/>
      <w:lvlJc w:val="left"/>
      <w:pPr>
        <w:ind w:left="633" w:hanging="23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50"/>
    </w:pPr>
    <w:rPr>
      <w:rFonts w:ascii="Calibri" w:cs="Calibri" w:eastAsia="Calibri" w:hAnsi="Calibri"/>
      <w:color w:val="1A1D21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7f57ca1ca1693b4d44d27a7409bab020e50bc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Sachin Koli — Profile Card</dc:title>
  <dc:creator>Sachin Koli</dc:creator>
  <dc:description>Editable Word copy of Sachin_Koli_Profile_Card.pdf (A4 landscape).</dc:description>
  <cp:lastModifiedBy>Un-named</cp:lastModifiedBy>
  <cp:revision>1</cp:revision>
  <dcterms:created xsi:type="dcterms:W3CDTF">2026-08-30T18:15:33.445Z</dcterms:created>
  <dcterms:modified xsi:type="dcterms:W3CDTF">2026-08-30T18:15:33.445Z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