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20" w:line="240"/>
      </w:pPr>
      <w:r>
        <w:rPr>
          <w:rFonts w:ascii="Calibri" w:cs="Calibri" w:eastAsia="Calibri" w:hAnsi="Calibri"/>
          <w:b/>
          <w:bCs/>
          <w:color w:val="0B0D0F"/>
          <w:sz w:val="50"/>
          <w:szCs w:val="50"/>
        </w:rPr>
        <w:t xml:space="preserve">Sachin Koli</w:t>
      </w:r>
    </w:p>
    <w:p>
      <w:pPr>
        <w:keepNext/>
        <w:spacing w:after="20" w:line="240"/>
      </w:pPr>
      <w:r>
        <w:rPr>
          <w:rFonts w:ascii="Calibri" w:cs="Calibri" w:eastAsia="Calibri" w:hAnsi="Calibri"/>
          <w:b/>
          <w:bCs/>
          <w:color w:val="0B5C4D"/>
          <w:sz w:val="23"/>
          <w:szCs w:val="23"/>
        </w:rPr>
        <w:t xml:space="preserve">Solution Architect — Cloud Data &amp; AI Platforms</w:t>
      </w:r>
    </w:p>
    <w:p>
      <w:pPr>
        <w:keepNext/>
        <w:spacing w:after="0" w:line="240"/>
      </w:pPr>
      <w:r>
        <w:rPr>
          <w:rFonts w:ascii="Calibri" w:cs="Calibri" w:eastAsia="Calibri" w:hAnsi="Calibri"/>
          <w:b/>
          <w:bCs/>
          <w:color w:val="35424A"/>
          <w:sz w:val="19"/>
          <w:szCs w:val="19"/>
        </w:rPr>
        <w:t xml:space="preserve">Google Cloud Certified — Professional Data Engineer</w:t>
      </w:r>
    </w:p>
    <w:p>
      <w:pPr>
        <w:pBdr>
          <w:top w:val="single" w:color="D8DEE2" w:sz="4" w:space="4"/>
        </w:pBdr>
        <w:spacing w:after="120" w:before="60" w:line="240"/>
      </w:pPr>
      <w:r>
        <w:rPr>
          <w:rFonts w:ascii="Calibri" w:cs="Calibri" w:eastAsia="Calibri" w:hAnsi="Calibri"/>
          <w:color w:val="5A646C"/>
          <w:sz w:val="18"/>
          <w:szCs w:val="18"/>
        </w:rPr>
        <w:t xml:space="preserve">Pune, India</w:t>
      </w:r>
      <w:r>
        <w:rPr>
          <w:rFonts w:ascii="Calibri" w:cs="Calibri" w:eastAsia="Calibri" w:hAnsi="Calibri"/>
          <w:color w:val="D8DEE2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5A646C"/>
          <w:sz w:val="18"/>
          <w:szCs w:val="18"/>
        </w:rPr>
        <w:t xml:space="preserve">+91 95522 36200</w:t>
      </w:r>
      <w:r>
        <w:rPr>
          <w:rFonts w:ascii="Calibri" w:cs="Calibri" w:eastAsia="Calibri" w:hAnsi="Calibri"/>
          <w:color w:val="D8DEE2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5A646C"/>
          <w:sz w:val="18"/>
          <w:szCs w:val="18"/>
        </w:rPr>
        <w:t xml:space="preserve">kolisachint@gmail.com</w:t>
      </w:r>
      <w:r>
        <w:rPr>
          <w:rFonts w:ascii="Calibri" w:cs="Calibri" w:eastAsia="Calibri" w:hAnsi="Calibri"/>
          <w:color w:val="D8DEE2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5A646C"/>
          <w:sz w:val="18"/>
          <w:szCs w:val="18"/>
        </w:rPr>
        <w:t xml:space="preserve">linkedin.com/in/kolisachint</w:t>
      </w:r>
      <w:r>
        <w:rPr>
          <w:rFonts w:ascii="Calibri" w:cs="Calibri" w:eastAsia="Calibri" w:hAnsi="Calibri"/>
          <w:color w:val="D8DEE2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5A646C"/>
          <w:sz w:val="18"/>
          <w:szCs w:val="18"/>
        </w:rPr>
        <w:t xml:space="preserve">github.com/kolisachint</w:t>
      </w:r>
      <w:r>
        <w:rPr>
          <w:rFonts w:ascii="Calibri" w:cs="Calibri" w:eastAsia="Calibri" w:hAnsi="Calibri"/>
          <w:color w:val="D8DEE2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5A646C"/>
          <w:sz w:val="18"/>
          <w:szCs w:val="18"/>
        </w:rPr>
        <w:t xml:space="preserve">kolisachint.github.io</w:t>
      </w:r>
    </w:p>
    <w:p>
      <w:pPr>
        <w:keepNext/>
        <w:pBdr>
          <w:bottom w:val="single" w:color="0B5C4D" w:sz="6" w:space="2"/>
        </w:pBdr>
        <w:spacing w:after="70" w:before="60" w:line="240"/>
      </w:pPr>
      <w:r>
        <w:rPr>
          <w:rFonts w:ascii="Calibri" w:cs="Calibri" w:eastAsia="Calibri" w:hAnsi="Calibri"/>
          <w:b/>
          <w:bCs/>
          <w:color w:val="0B5C4D"/>
          <w:spacing w:val="22"/>
          <w:sz w:val="18"/>
          <w:szCs w:val="18"/>
        </w:rPr>
        <w:t xml:space="preserve">SUMMARY</w:t>
      </w:r>
    </w:p>
    <w:p>
      <w:pPr>
        <w:keepNext w:val="false"/>
        <w:keepLines/>
        <w:spacing w:after="70" w:before="0" w:line="25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Google Cloud Certified Professional Data Engineer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18 years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 building enterprise data platforms, now architecting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real-time streaming and batch data infrastructure on Google Cloud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 for a UK tier-1 retail bank — Confluent Kafka, Cloud Composer, dbt, BigQuery and Terraform, spanning legacy on-premise and cloud environments.</w:t>
      </w:r>
    </w:p>
    <w:p>
      <w:pPr>
        <w:keepNext w:val="false"/>
        <w:keepLines/>
        <w:spacing w:after="70" w:before="0" w:line="250"/>
        <w:jc w:val="left"/>
      </w:pP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Previously architected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digital cards and payments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 at the same bank, migrating card servicing to GCP. The self-serve fraud journey I designed won at the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Banking Tech Awards 2024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 and the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Card &amp; Payments Awards 2025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.</w:t>
      </w:r>
    </w:p>
    <w:p>
      <w:pPr>
        <w:keepNext w:val="false"/>
        <w:keepLines/>
        <w:spacing w:after="40" w:before="0" w:line="250"/>
        <w:jc w:val="left"/>
      </w:pP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Across twelve prior years in retail, telecom and banking data: a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Teradata → BigQuery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 lake migration, and a customer preference API on GCP that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cut $600,000 a year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 in operating cost. Alongside all of it I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ship applied-AI tooling in the open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 — a terminal coding agent published to npm, and the Rust beneath it: ONNX inference, an ANN index written from scratch, hybrid dense/lexical retrieval.</w:t>
      </w:r>
    </w:p>
    <w:p>
      <w:pPr>
        <w:keepNext/>
        <w:pBdr>
          <w:bottom w:val="single" w:color="0B5C4D" w:sz="6" w:space="2"/>
        </w:pBdr>
        <w:spacing w:after="70" w:before="200" w:line="240"/>
      </w:pPr>
      <w:r>
        <w:rPr>
          <w:rFonts w:ascii="Calibri" w:cs="Calibri" w:eastAsia="Calibri" w:hAnsi="Calibri"/>
          <w:b/>
          <w:bCs/>
          <w:color w:val="0B5C4D"/>
          <w:spacing w:val="22"/>
          <w:sz w:val="18"/>
          <w:szCs w:val="18"/>
        </w:rPr>
        <w:t xml:space="preserve">EXPERIENCE</w:t>
      </w:r>
    </w:p>
    <w:p>
      <w:pPr>
        <w:keepNext/>
        <w:tabs>
          <w:tab w:val="right" w:pos="10546"/>
        </w:tabs>
        <w:spacing w:after="0" w:before="40" w:line="240"/>
      </w:pPr>
      <w:r>
        <w:rPr>
          <w:rFonts w:ascii="Calibri" w:cs="Calibri" w:eastAsia="Calibri" w:hAnsi="Calibri"/>
          <w:b/>
          <w:bCs/>
          <w:color w:val="0B0D0F"/>
          <w:sz w:val="22"/>
          <w:szCs w:val="22"/>
        </w:rPr>
        <w:t xml:space="preserve">Tata Consultancy Services</w:t>
      </w:r>
      <w:r>
        <w:rPr>
          <w:rFonts w:ascii="Calibri" w:cs="Calibri" w:eastAsia="Calibri" w:hAnsi="Calibri"/>
          <w:b/>
          <w:bCs/>
          <w:color w:val="5A646C"/>
          <w:sz w:val="18"/>
          <w:szCs w:val="18"/>
        </w:rPr>
        <w:t xml:space="preserve">	Sep 2021 – Present</w:t>
      </w:r>
    </w:p>
    <w:p>
      <w:pPr>
        <w:keepNext/>
        <w:spacing w:after="20" w:line="240"/>
      </w:pPr>
      <w:r>
        <w:rPr>
          <w:rFonts w:ascii="Calibri" w:cs="Calibri" w:eastAsia="Calibri" w:hAnsi="Calibri"/>
          <w:i w:val="false"/>
          <w:iCs w:val="false"/>
          <w:color w:val="35424A"/>
          <w:sz w:val="19"/>
          <w:szCs w:val="19"/>
        </w:rPr>
        <w:t xml:space="preserve">Solution Architect  ·  Pune, India</w:t>
      </w:r>
    </w:p>
    <w:p>
      <w:pPr>
        <w:keepNext/>
        <w:spacing w:after="30" w:before="40" w:line="240"/>
      </w:pPr>
      <w:r>
        <w:rPr>
          <w:rFonts w:ascii="Calibri" w:cs="Calibri" w:eastAsia="Calibri" w:hAnsi="Calibri"/>
          <w:i w:val="false"/>
          <w:iCs w:val="false"/>
          <w:color w:val="0B5C4D"/>
          <w:sz w:val="18"/>
          <w:szCs w:val="18"/>
        </w:rPr>
        <w:t xml:space="preserve">Client: Lloyds Banking Group, United Kingdom</w:t>
      </w:r>
    </w:p>
    <w:p>
      <w:pPr>
        <w:keepNext/>
        <w:spacing w:after="3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19"/>
          <w:szCs w:val="19"/>
        </w:rPr>
        <w:t xml:space="preserve">Data Platform &amp; Real-Time Analytics</w:t>
      </w:r>
      <w:r>
        <w:rPr>
          <w:rFonts w:ascii="Calibri" w:cs="Calibri" w:eastAsia="Calibri" w:hAnsi="Calibri"/>
          <w:i w:val="false"/>
          <w:iCs w:val="false"/>
          <w:color w:val="35424A"/>
          <w:sz w:val="19"/>
          <w:szCs w:val="19"/>
        </w:rPr>
        <w:t xml:space="preserve">  — Jul 2025 – Present</w:t>
      </w:r>
    </w:p>
    <w:p>
      <w:pPr>
        <w:pStyle w:val="ListParagraph"/>
        <w:keepLines/>
        <w:numPr>
          <w:ilvl w:val="0"/>
          <w:numId w:val="2"/>
        </w:numPr>
        <w:spacing w:after="40" w:line="250"/>
      </w:pP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Architected the bank's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end-to-end batch and real-time streaming data platform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 on Google Cloud, supporting high-throughput analytics, operational reporting and machine learning workloads.</w:t>
      </w:r>
    </w:p>
    <w:p>
      <w:pPr>
        <w:pStyle w:val="ListParagraph"/>
        <w:keepLines/>
        <w:numPr>
          <w:ilvl w:val="0"/>
          <w:numId w:val="2"/>
        </w:numPr>
        <w:spacing w:after="40" w:line="250"/>
      </w:pP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Engineered high-availability, event-driven ingestion pipelines on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Confluent Kafka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 with Python, delivering low-latency data for operational reporting and instant business insight.</w:t>
      </w:r>
    </w:p>
    <w:p>
      <w:pPr>
        <w:pStyle w:val="ListParagraph"/>
        <w:keepLines/>
        <w:numPr>
          <w:ilvl w:val="0"/>
          <w:numId w:val="2"/>
        </w:numPr>
        <w:spacing w:after="40" w:line="250"/>
      </w:pP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Architected hybrid batch orchestration across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Cloud Composer (Apache Airflow)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IBM Tivoli Workload Scheduler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, managing complex dependency graphs that span legacy on-premise and cloud environments.</w:t>
      </w:r>
    </w:p>
    <w:p>
      <w:pPr>
        <w:pStyle w:val="ListParagraph"/>
        <w:keepLines/>
        <w:numPr>
          <w:ilvl w:val="0"/>
          <w:numId w:val="2"/>
        </w:numPr>
        <w:spacing w:after="40" w:line="250"/>
      </w:pP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Designed optimised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BigQuery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 warehouse schemas and modular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dbt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 transformation pipelines with enforced data quality and lineage; built automated testing, validation and monitoring frameworks so downstream analytics fail loudly rather than silently.</w:t>
      </w:r>
    </w:p>
    <w:p>
      <w:pPr>
        <w:pStyle w:val="ListParagraph"/>
        <w:keepLines/>
        <w:numPr>
          <w:ilvl w:val="0"/>
          <w:numId w:val="2"/>
        </w:numPr>
        <w:spacing w:after="40" w:line="250"/>
      </w:pP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Standardised infrastructure with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Terraform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 — Composer environments, BigQuery datasets, Kafka connectors and IAM roles — and integrated it into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CI/CD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, cutting configuration drift and deployment cycle time.</w:t>
      </w:r>
    </w:p>
    <w:p>
      <w:pPr>
        <w:pStyle w:val="ListParagraph"/>
        <w:keepLines/>
        <w:numPr>
          <w:ilvl w:val="0"/>
          <w:numId w:val="2"/>
        </w:numPr>
        <w:spacing w:after="40" w:line="250"/>
      </w:pP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Implemented BigQuery and GCP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cost optimisation and governance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, reducing compute overhead while improving query performance and data security.</w:t>
      </w:r>
    </w:p>
    <w:p>
      <w:pPr>
        <w:pStyle w:val="ListParagraph"/>
        <w:keepLines/>
        <w:numPr>
          <w:ilvl w:val="0"/>
          <w:numId w:val="2"/>
        </w:numPr>
        <w:spacing w:after="40" w:line="250"/>
      </w:pP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Partnered with leadership, security and business units to turn requirements into production-ready architectural blueprints.</w:t>
      </w:r>
    </w:p>
    <w:p>
      <w:pPr>
        <w:keepNext/>
        <w:spacing w:after="3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19"/>
          <w:szCs w:val="19"/>
        </w:rPr>
        <w:t xml:space="preserve">Digital Cards Modernisation</w:t>
      </w:r>
      <w:r>
        <w:rPr>
          <w:rFonts w:ascii="Calibri" w:cs="Calibri" w:eastAsia="Calibri" w:hAnsi="Calibri"/>
          <w:i w:val="false"/>
          <w:iCs w:val="false"/>
          <w:color w:val="35424A"/>
          <w:sz w:val="19"/>
          <w:szCs w:val="19"/>
        </w:rPr>
        <w:t xml:space="preserve">  — 2022 – Jul 2025</w:t>
      </w:r>
    </w:p>
    <w:p>
      <w:pPr>
        <w:pStyle w:val="ListParagraph"/>
        <w:keepLines/>
        <w:numPr>
          <w:ilvl w:val="0"/>
          <w:numId w:val="2"/>
        </w:numPr>
        <w:spacing w:after="40" w:line="250"/>
      </w:pP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Led end-to-end modernisation of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Digital Cards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 — Add to Wallet, card controls, View PIN / View Card — migrating from on-premise infrastructure to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GCP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.</w:t>
      </w:r>
    </w:p>
    <w:p>
      <w:pPr>
        <w:pStyle w:val="ListParagraph"/>
        <w:keepLines/>
        <w:numPr>
          <w:ilvl w:val="0"/>
          <w:numId w:val="2"/>
        </w:numPr>
        <w:spacing w:after="40" w:line="250"/>
      </w:pP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Architected secure, scalable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microservices and cross-cloud API patterns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 meeting banking compliance and performance requirements.</w:t>
      </w:r>
    </w:p>
    <w:p>
      <w:pPr>
        <w:pStyle w:val="ListParagraph"/>
        <w:keepLines/>
        <w:numPr>
          <w:ilvl w:val="0"/>
          <w:numId w:val="2"/>
        </w:numPr>
        <w:spacing w:after="40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Award-winning self-serve fraud journey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 — recognised at the Banking Tech Awards 2024 and the Card &amp; Payments Awards 2025 — moving fraud handling from an assisted call-centre process to a journey the customer completes.</w:t>
      </w:r>
    </w:p>
    <w:p>
      <w:pPr>
        <w:pStyle w:val="ListParagraph"/>
        <w:keepLines/>
        <w:numPr>
          <w:ilvl w:val="0"/>
          <w:numId w:val="2"/>
        </w:numPr>
        <w:spacing w:after="40" w:line="250"/>
      </w:pP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Designed service discovery, API gateways, containerisation, load balancing and secure inter-service communication across a hybrid estate.</w:t>
      </w:r>
    </w:p>
    <w:p>
      <w:pPr>
        <w:keepNext/>
        <w:tabs>
          <w:tab w:val="right" w:pos="10546"/>
        </w:tabs>
        <w:spacing w:after="0" w:before="100" w:line="240"/>
      </w:pPr>
      <w:r>
        <w:rPr>
          <w:rFonts w:ascii="Calibri" w:cs="Calibri" w:eastAsia="Calibri" w:hAnsi="Calibri"/>
          <w:b/>
          <w:bCs/>
          <w:color w:val="0B0D0F"/>
          <w:sz w:val="22"/>
          <w:szCs w:val="22"/>
        </w:rPr>
        <w:t xml:space="preserve">Sears IT and Management Services India</w:t>
      </w:r>
      <w:r>
        <w:rPr>
          <w:rFonts w:ascii="Calibri" w:cs="Calibri" w:eastAsia="Calibri" w:hAnsi="Calibri"/>
          <w:b/>
          <w:bCs/>
          <w:color w:val="5A646C"/>
          <w:sz w:val="18"/>
          <w:szCs w:val="18"/>
        </w:rPr>
        <w:t xml:space="preserve">	Feb 2018 – Sep 2021</w:t>
      </w:r>
    </w:p>
    <w:p>
      <w:pPr>
        <w:keepNext/>
        <w:spacing w:after="20" w:line="240"/>
      </w:pPr>
      <w:r>
        <w:rPr>
          <w:rFonts w:ascii="Calibri" w:cs="Calibri" w:eastAsia="Calibri" w:hAnsi="Calibri"/>
          <w:i w:val="false"/>
          <w:iCs w:val="false"/>
          <w:color w:val="35424A"/>
          <w:sz w:val="19"/>
          <w:szCs w:val="19"/>
        </w:rPr>
        <w:t xml:space="preserve">Technical Specialist → Architect  ·  Pune, India</w:t>
      </w:r>
    </w:p>
    <w:p>
      <w:pPr>
        <w:keepNext/>
        <w:spacing w:after="30" w:before="40" w:line="240"/>
      </w:pPr>
      <w:r>
        <w:rPr>
          <w:rFonts w:ascii="Calibri" w:cs="Calibri" w:eastAsia="Calibri" w:hAnsi="Calibri"/>
          <w:i w:val="false"/>
          <w:iCs w:val="false"/>
          <w:color w:val="0B5C4D"/>
          <w:sz w:val="18"/>
          <w:szCs w:val="18"/>
        </w:rPr>
        <w:t xml:space="preserve">Client: Sears Holdings Corporation, United States — Targeted Interactions / TI Mart</w:t>
      </w:r>
    </w:p>
    <w:p>
      <w:pPr>
        <w:pStyle w:val="ListParagraph"/>
        <w:keepLines/>
        <w:numPr>
          <w:ilvl w:val="0"/>
          <w:numId w:val="2"/>
        </w:numPr>
        <w:spacing w:after="40" w:line="250"/>
      </w:pP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Built the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Email Preference Center API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 on GCP App Engine, Pub/Sub, DataFlow and BigQuery, serving millions of customers —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reduced annual cost by $600,000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.</w:t>
      </w:r>
    </w:p>
    <w:p>
      <w:pPr>
        <w:pStyle w:val="ListParagraph"/>
        <w:keepLines/>
        <w:numPr>
          <w:ilvl w:val="0"/>
          <w:numId w:val="2"/>
        </w:numPr>
        <w:spacing w:after="40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Migrated DataMarts from Teradata to BigQuery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, on schedule and without significant incident.</w:t>
      </w:r>
    </w:p>
    <w:p>
      <w:pPr>
        <w:pStyle w:val="ListParagraph"/>
        <w:keepLines/>
        <w:numPr>
          <w:ilvl w:val="0"/>
          <w:numId w:val="2"/>
        </w:numPr>
        <w:spacing w:after="40" w:line="250"/>
      </w:pP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Built an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API management layer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 decoupling applications from cloud complexity across a multicloud estate — reused as the blueprint by other teams.</w:t>
      </w:r>
    </w:p>
    <w:p>
      <w:pPr>
        <w:pStyle w:val="ListParagraph"/>
        <w:keepLines/>
        <w:numPr>
          <w:ilvl w:val="0"/>
          <w:numId w:val="2"/>
        </w:numPr>
        <w:spacing w:after="40" w:line="250"/>
      </w:pP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Replaced self-hosted tooling with cloud-native across five stacks: Teradata → BigQuery · Unix → Compute Engine · Control-M → Airflow · shell/ETL → Python · GitLab Enterprise → Cloud Source Repositories.</w:t>
      </w:r>
    </w:p>
    <w:p>
      <w:pPr>
        <w:pStyle w:val="ListParagraph"/>
        <w:keepLines/>
        <w:numPr>
          <w:ilvl w:val="0"/>
          <w:numId w:val="2"/>
        </w:numPr>
        <w:spacing w:after="40" w:line="250"/>
      </w:pP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Designed shared datamarts (CDW, NSegment, Campaign) in BigQuery; led enterprise migration from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IBM Unica to Adobe Campaign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 and Telluride, coordinating vendors (Adobe, BounceX) and internal teams.</w:t>
      </w:r>
    </w:p>
    <w:p>
      <w:pPr>
        <w:pStyle w:val="ListParagraph"/>
        <w:keepLines/>
        <w:numPr>
          <w:ilvl w:val="0"/>
          <w:numId w:val="2"/>
        </w:numPr>
        <w:spacing w:after="40" w:line="250"/>
      </w:pP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Delivered Tableau and Data Studio reporting; ran continuous GCP cost optimisation.</w:t>
      </w:r>
    </w:p>
    <w:p>
      <w:pPr>
        <w:keepNext/>
        <w:tabs>
          <w:tab w:val="right" w:pos="10546"/>
        </w:tabs>
        <w:spacing w:after="0" w:before="100" w:line="240"/>
      </w:pPr>
      <w:r>
        <w:rPr>
          <w:rFonts w:ascii="Calibri" w:cs="Calibri" w:eastAsia="Calibri" w:hAnsi="Calibri"/>
          <w:b/>
          <w:bCs/>
          <w:color w:val="0B0D0F"/>
          <w:sz w:val="22"/>
          <w:szCs w:val="22"/>
        </w:rPr>
        <w:t xml:space="preserve">Cognizant Technology Solutions</w:t>
      </w:r>
      <w:r>
        <w:rPr>
          <w:rFonts w:ascii="Calibri" w:cs="Calibri" w:eastAsia="Calibri" w:hAnsi="Calibri"/>
          <w:b/>
          <w:bCs/>
          <w:color w:val="5A646C"/>
          <w:sz w:val="18"/>
          <w:szCs w:val="18"/>
        </w:rPr>
        <w:t xml:space="preserve">	Nov 2010 – Feb 2018</w:t>
      </w:r>
    </w:p>
    <w:p>
      <w:pPr>
        <w:keepNext/>
        <w:spacing w:after="20" w:line="240"/>
      </w:pPr>
      <w:r>
        <w:rPr>
          <w:rFonts w:ascii="Calibri" w:cs="Calibri" w:eastAsia="Calibri" w:hAnsi="Calibri"/>
          <w:i w:val="false"/>
          <w:iCs w:val="false"/>
          <w:color w:val="35424A"/>
          <w:sz w:val="19"/>
          <w:szCs w:val="19"/>
        </w:rPr>
        <w:t xml:space="preserve">Senior Associate – Projects  ·  Pune, India</w:t>
      </w:r>
    </w:p>
    <w:p>
      <w:pPr>
        <w:keepNext/>
        <w:spacing w:after="30" w:before="40" w:line="240"/>
      </w:pPr>
      <w:r>
        <w:rPr>
          <w:rFonts w:ascii="Calibri" w:cs="Calibri" w:eastAsia="Calibri" w:hAnsi="Calibri"/>
          <w:i w:val="false"/>
          <w:iCs w:val="false"/>
          <w:color w:val="0B5C4D"/>
          <w:sz w:val="18"/>
          <w:szCs w:val="18"/>
        </w:rPr>
        <w:t xml:space="preserve">Client: Saudi Telecom Company, Saudi Arabia — STC EDW (CLDM7 / CLDM12) · Onsite IT Delivery Lead · Feb 2015 – Feb 2018</w:t>
      </w:r>
    </w:p>
    <w:p>
      <w:pPr>
        <w:pStyle w:val="ListParagraph"/>
        <w:keepLines/>
        <w:numPr>
          <w:ilvl w:val="0"/>
          <w:numId w:val="2"/>
        </w:numPr>
        <w:spacing w:after="40" w:line="250"/>
      </w:pP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Led data modelling for the enterprise warehouse covering customers, accounts, subscriptions, offers and products across all channels and business units.</w:t>
      </w:r>
    </w:p>
    <w:p>
      <w:pPr>
        <w:pStyle w:val="ListParagraph"/>
        <w:keepLines/>
        <w:numPr>
          <w:ilvl w:val="0"/>
          <w:numId w:val="2"/>
        </w:numPr>
        <w:spacing w:after="40" w:line="250"/>
      </w:pP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Extended the model by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snowflaking dimensions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 — demographics, account status, subscription status.</w:t>
      </w:r>
    </w:p>
    <w:p>
      <w:pPr>
        <w:pStyle w:val="ListParagraph"/>
        <w:keepLines/>
        <w:numPr>
          <w:ilvl w:val="0"/>
          <w:numId w:val="2"/>
        </w:numPr>
        <w:spacing w:after="40" w:line="250"/>
      </w:pP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Built an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automation tool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 propagating a new key through every dimension table, Teradata utility script (FastLoad, MultiLoad, FastExport, BTEQ) and Ab-Initio object automatically.</w:t>
      </w:r>
    </w:p>
    <w:p>
      <w:pPr>
        <w:pStyle w:val="ListParagraph"/>
        <w:keepLines/>
        <w:numPr>
          <w:ilvl w:val="0"/>
          <w:numId w:val="2"/>
        </w:numPr>
        <w:spacing w:after="40" w:line="250"/>
      </w:pP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Ran a big-data POC on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Apache Hive and HDFS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 for CDR ingestion.</w:t>
      </w:r>
    </w:p>
    <w:p>
      <w:pPr>
        <w:keepNext/>
        <w:spacing w:after="30" w:before="40" w:line="240"/>
      </w:pPr>
      <w:r>
        <w:rPr>
          <w:rFonts w:ascii="Calibri" w:cs="Calibri" w:eastAsia="Calibri" w:hAnsi="Calibri"/>
          <w:i w:val="false"/>
          <w:iCs w:val="false"/>
          <w:color w:val="0B5C4D"/>
          <w:sz w:val="18"/>
          <w:szCs w:val="18"/>
        </w:rPr>
        <w:t xml:space="preserve">Client: Barclays, United Kingdom — Emerging Markets DW &amp; One Africa Program · Team Lead · Nov 2010 – Feb 2015</w:t>
      </w:r>
    </w:p>
    <w:p>
      <w:pPr>
        <w:pStyle w:val="ListParagraph"/>
        <w:keepLines/>
        <w:numPr>
          <w:ilvl w:val="0"/>
          <w:numId w:val="2"/>
        </w:numPr>
        <w:spacing w:after="40" w:line="250"/>
      </w:pP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Built staging from core banking (FLEX), ATM/POS (SPARROW) and online transaction sources, then the DataMarts above them.</w:t>
      </w:r>
    </w:p>
    <w:p>
      <w:pPr>
        <w:pStyle w:val="ListParagraph"/>
        <w:keepLines/>
        <w:numPr>
          <w:ilvl w:val="0"/>
          <w:numId w:val="2"/>
        </w:numPr>
        <w:spacing w:after="40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One Africa: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 unified emerging-market data across African countries into a single source of truth, letting one DataMart span new countries with no rework.</w:t>
      </w:r>
    </w:p>
    <w:p>
      <w:pPr>
        <w:pStyle w:val="ListParagraph"/>
        <w:keepLines/>
        <w:numPr>
          <w:ilvl w:val="0"/>
          <w:numId w:val="2"/>
        </w:numPr>
        <w:spacing w:after="40" w:line="250"/>
      </w:pP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Designed the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logical and physical data models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; built reusable automation — TWS object-creation tool, Teradata acquisition code generator, Unix deployment tooling.</w:t>
      </w:r>
    </w:p>
    <w:p>
      <w:pPr>
        <w:pStyle w:val="ListParagraph"/>
        <w:keepLines/>
        <w:numPr>
          <w:ilvl w:val="0"/>
          <w:numId w:val="2"/>
        </w:numPr>
        <w:spacing w:after="40" w:line="250"/>
      </w:pP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Implemented archiving and purging against the active warehouse, tiering history to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Greenplum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.</w:t>
      </w:r>
    </w:p>
    <w:p>
      <w:pPr>
        <w:keepNext/>
        <w:tabs>
          <w:tab w:val="right" w:pos="10546"/>
        </w:tabs>
        <w:spacing w:after="0" w:before="100" w:line="240"/>
      </w:pPr>
      <w:r>
        <w:rPr>
          <w:rFonts w:ascii="Calibri" w:cs="Calibri" w:eastAsia="Calibri" w:hAnsi="Calibri"/>
          <w:b/>
          <w:bCs/>
          <w:color w:val="0B0D0F"/>
          <w:sz w:val="22"/>
          <w:szCs w:val="22"/>
        </w:rPr>
        <w:t xml:space="preserve">Mahindra Satyam</w:t>
      </w:r>
      <w:r>
        <w:rPr>
          <w:rFonts w:ascii="Calibri" w:cs="Calibri" w:eastAsia="Calibri" w:hAnsi="Calibri"/>
          <w:b/>
          <w:bCs/>
          <w:color w:val="5A646C"/>
          <w:sz w:val="18"/>
          <w:szCs w:val="18"/>
        </w:rPr>
        <w:t xml:space="preserve">	Jan 2008 – Nov 2010</w:t>
      </w:r>
    </w:p>
    <w:p>
      <w:pPr>
        <w:keepNext/>
        <w:spacing w:after="20" w:line="240"/>
      </w:pPr>
      <w:r>
        <w:rPr>
          <w:rFonts w:ascii="Calibri" w:cs="Calibri" w:eastAsia="Calibri" w:hAnsi="Calibri"/>
          <w:i w:val="false"/>
          <w:iCs w:val="false"/>
          <w:color w:val="35424A"/>
          <w:sz w:val="19"/>
          <w:szCs w:val="19"/>
        </w:rPr>
        <w:t xml:space="preserve">Software Developer – S2  ·  Hyderabad / Bangalore, India</w:t>
      </w:r>
    </w:p>
    <w:p>
      <w:pPr>
        <w:keepNext/>
        <w:spacing w:after="30" w:before="40" w:line="240"/>
      </w:pPr>
      <w:r>
        <w:rPr>
          <w:rFonts w:ascii="Calibri" w:cs="Calibri" w:eastAsia="Calibri" w:hAnsi="Calibri"/>
          <w:i w:val="false"/>
          <w:iCs w:val="false"/>
          <w:color w:val="0B5C4D"/>
          <w:sz w:val="18"/>
          <w:szCs w:val="18"/>
        </w:rPr>
        <w:t xml:space="preserve">Client: Telstra Corporation, Australia — TR2.1 / TR2.2 EDW Data-In</w:t>
      </w:r>
    </w:p>
    <w:p>
      <w:pPr>
        <w:pStyle w:val="ListParagraph"/>
        <w:keepLines/>
        <w:numPr>
          <w:ilvl w:val="0"/>
          <w:numId w:val="2"/>
        </w:numPr>
        <w:spacing w:after="40" w:line="250"/>
      </w:pP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Built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DataStage 7.5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 jobs, Teradata utility scripts and Perl/Unix tooling for the retail customer warehouse — registrations, demographics, segmentation, billed and unbilled call records.</w:t>
      </w:r>
    </w:p>
    <w:p>
      <w:pPr>
        <w:pStyle w:val="ListParagraph"/>
        <w:keepLines/>
        <w:numPr>
          <w:ilvl w:val="0"/>
          <w:numId w:val="2"/>
        </w:numPr>
        <w:spacing w:after="40" w:line="250"/>
      </w:pP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Built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Informatica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 mappings and workflows migrating Oracle to Teradata for an enterprise data warehouse.</w:t>
      </w:r>
    </w:p>
    <w:p>
      <w:pPr>
        <w:keepNext/>
        <w:pBdr>
          <w:bottom w:val="single" w:color="0B5C4D" w:sz="6" w:space="2"/>
        </w:pBdr>
        <w:spacing w:after="70" w:before="200" w:line="240"/>
      </w:pPr>
      <w:r>
        <w:rPr>
          <w:rFonts w:ascii="Calibri" w:cs="Calibri" w:eastAsia="Calibri" w:hAnsi="Calibri"/>
          <w:b/>
          <w:bCs/>
          <w:color w:val="0B5C4D"/>
          <w:spacing w:val="22"/>
          <w:sz w:val="18"/>
          <w:szCs w:val="18"/>
        </w:rPr>
        <w:t xml:space="preserve">OPEN SOURCE — APPLIED AI &amp; AGENT TOOLING</w:t>
      </w:r>
    </w:p>
    <w:p>
      <w:pPr>
        <w:keepNext w:val="false"/>
        <w:keepLines/>
        <w:spacing w:after="50" w:before="0" w:line="250"/>
        <w:jc w:val="left"/>
      </w:pPr>
      <w:r>
        <w:rPr>
          <w:rFonts w:ascii="Calibri" w:cs="Calibri" w:eastAsia="Calibri" w:hAnsi="Calibri"/>
          <w:i/>
          <w:iCs/>
          <w:color w:val="5A646C"/>
          <w:sz w:val="18"/>
          <w:szCs w:val="18"/>
        </w:rPr>
        <w:t xml:space="preserve">Built in my own time and shipped in public — </w:t>
      </w:r>
      <w:r>
        <w:rPr>
          <w:rFonts w:ascii="Calibri" w:cs="Calibri" w:eastAsia="Calibri" w:hAnsi="Calibri"/>
          <w:b/>
          <w:bCs/>
          <w:i/>
          <w:iCs/>
          <w:color w:val="0B0D0F"/>
          <w:sz w:val="18"/>
          <w:szCs w:val="18"/>
        </w:rPr>
        <w:t xml:space="preserve">github.com/kolisachint</w:t>
      </w:r>
    </w:p>
    <w:p>
      <w:pPr>
        <w:pStyle w:val="ListParagraph"/>
        <w:keepLines/>
        <w:numPr>
          <w:ilvl w:val="0"/>
          <w:numId w:val="2"/>
        </w:numPr>
        <w:spacing w:after="40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hoocode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 — deterministic terminal coding agent,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published to npm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. TypeScript monorepo of four packages: CLI, agent runtime with tool calling, a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unified LLM API across 25+ providers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, and a differential-rendering TUI. Permission gate on every edit and command, four scoped modes, MCP servers and subagents. ~470 commits since May 2026, extending a fork of the MIT-licensed pi-mono.</w:t>
      </w:r>
    </w:p>
    <w:p>
      <w:pPr>
        <w:pStyle w:val="ListParagraph"/>
        <w:keepLines/>
        <w:numPr>
          <w:ilvl w:val="0"/>
          <w:numId w:val="2"/>
        </w:numPr>
        <w:spacing w:after="40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embeddingsearchtools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 (Rust) — embedding search engine. MiniLM via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ONNX Runtime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, int8 weights bundled into the binary; exact and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HNSW approximate-nearest-neighbour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 indexes written from scratch;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BM25 fusion for hybrid retrieval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; mmap-friendly store behind a library API, CLI and daemon.</w:t>
      </w:r>
    </w:p>
    <w:p>
      <w:pPr>
        <w:pStyle w:val="ListParagraph"/>
        <w:keepLines/>
        <w:numPr>
          <w:ilvl w:val="0"/>
          <w:numId w:val="2"/>
        </w:numPr>
        <w:spacing w:after="40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voicetools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 (Rust) — offline speech-to-text. Mic capture through voice-activity detection into </w:t>
      </w: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Parakeet-TDT on ONNX Runtime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 (25 languages, int8), whisper.cpp fallback.</w:t>
      </w:r>
    </w:p>
    <w:p>
      <w:pPr>
        <w:pStyle w:val="ListParagraph"/>
        <w:keepLines/>
        <w:numPr>
          <w:ilvl w:val="0"/>
          <w:numId w:val="2"/>
        </w:numPr>
        <w:spacing w:after="40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webtools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 (Rust) — token-efficient fetch and search for LLM agents; reference-style URL preservation collapses links to single-token markers under a total token budget.</w:t>
      </w:r>
    </w:p>
    <w:p>
      <w:pPr>
        <w:keepNext/>
        <w:pBdr>
          <w:bottom w:val="single" w:color="0B5C4D" w:sz="6" w:space="2"/>
        </w:pBdr>
        <w:spacing w:after="70" w:before="200" w:line="240"/>
      </w:pPr>
      <w:r>
        <w:rPr>
          <w:rFonts w:ascii="Calibri" w:cs="Calibri" w:eastAsia="Calibri" w:hAnsi="Calibri"/>
          <w:b/>
          <w:bCs/>
          <w:color w:val="0B5C4D"/>
          <w:spacing w:val="22"/>
          <w:sz w:val="18"/>
          <w:szCs w:val="18"/>
        </w:rPr>
        <w:t xml:space="preserve">TECHNICAL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16%"/>
            <w:tcBorders>
              <w:top w:val="none" w:color="FFFFFF" w:sz="0"/>
              <w:left w:val="none" w:color="FFFFFF" w:sz="0"/>
              <w:bottom w:val="single" w:color="EAEEF0" w:sz="2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i w:val="false"/>
                <w:iCs w:val="false"/>
                <w:color w:val="1A1D21"/>
                <w:sz w:val="19"/>
                <w:szCs w:val="19"/>
              </w:rPr>
              <w:t xml:space="preserve">Cloud</w:t>
            </w:r>
          </w:p>
        </w:tc>
        <w:tc>
          <w:tcPr>
            <w:tcW w:type="pct" w:w="84%"/>
            <w:tcBorders>
              <w:top w:val="none" w:color="FFFFFF" w:sz="0"/>
              <w:left w:val="none" w:color="FFFFFF" w:sz="0"/>
              <w:bottom w:val="single" w:color="EAEEF0" w:sz="2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i w:val="false"/>
                <w:iCs w:val="false"/>
                <w:color w:val="1A1D21"/>
                <w:sz w:val="19"/>
                <w:szCs w:val="19"/>
              </w:rPr>
              <w:t xml:space="preserve">Google Cloud Platform — BigQuery, Cloud Composer, DataFlow, Pub/Sub, App Engine, Cloud Functions, DataProc, Cloud Storage, Compute Engine, Memorystore, Cloud SQL, VPC, IAM · AWS (S3)</w:t>
            </w:r>
          </w:p>
        </w:tc>
      </w:tr>
      <w:tr>
        <w:trPr>
          <w:cantSplit/>
        </w:trPr>
        <w:tc>
          <w:tcPr>
            <w:tcW w:type="pct" w:w="16%"/>
            <w:tcBorders>
              <w:top w:val="none" w:color="FFFFFF" w:sz="0"/>
              <w:left w:val="none" w:color="FFFFFF" w:sz="0"/>
              <w:bottom w:val="single" w:color="EAEEF0" w:sz="2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i w:val="false"/>
                <w:iCs w:val="false"/>
                <w:color w:val="1A1D21"/>
                <w:sz w:val="19"/>
                <w:szCs w:val="19"/>
              </w:rPr>
              <w:t xml:space="preserve">Streaming</w:t>
            </w:r>
          </w:p>
        </w:tc>
        <w:tc>
          <w:tcPr>
            <w:tcW w:type="pct" w:w="84%"/>
            <w:tcBorders>
              <w:top w:val="none" w:color="FFFFFF" w:sz="0"/>
              <w:left w:val="none" w:color="FFFFFF" w:sz="0"/>
              <w:bottom w:val="single" w:color="EAEEF0" w:sz="2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i w:val="false"/>
                <w:iCs w:val="false"/>
                <w:color w:val="1A1D21"/>
                <w:sz w:val="19"/>
                <w:szCs w:val="19"/>
              </w:rPr>
              <w:t xml:space="preserve">Confluent Kafka, Pub/Sub, Apache Beam, event-driven architecture</w:t>
            </w:r>
          </w:p>
        </w:tc>
      </w:tr>
      <w:tr>
        <w:trPr>
          <w:cantSplit/>
        </w:trPr>
        <w:tc>
          <w:tcPr>
            <w:tcW w:type="pct" w:w="16%"/>
            <w:tcBorders>
              <w:top w:val="none" w:color="FFFFFF" w:sz="0"/>
              <w:left w:val="none" w:color="FFFFFF" w:sz="0"/>
              <w:bottom w:val="single" w:color="EAEEF0" w:sz="2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i w:val="false"/>
                <w:iCs w:val="false"/>
                <w:color w:val="1A1D21"/>
                <w:sz w:val="19"/>
                <w:szCs w:val="19"/>
              </w:rPr>
              <w:t xml:space="preserve">Orchestration</w:t>
            </w:r>
          </w:p>
        </w:tc>
        <w:tc>
          <w:tcPr>
            <w:tcW w:type="pct" w:w="84%"/>
            <w:tcBorders>
              <w:top w:val="none" w:color="FFFFFF" w:sz="0"/>
              <w:left w:val="none" w:color="FFFFFF" w:sz="0"/>
              <w:bottom w:val="single" w:color="EAEEF0" w:sz="2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i w:val="false"/>
                <w:iCs w:val="false"/>
                <w:color w:val="1A1D21"/>
                <w:sz w:val="19"/>
                <w:szCs w:val="19"/>
              </w:rPr>
              <w:t xml:space="preserve">Cloud Composer / Apache Airflow, IBM Tivoli Workload Scheduler, Control-M</w:t>
            </w:r>
          </w:p>
        </w:tc>
      </w:tr>
      <w:tr>
        <w:trPr>
          <w:cantSplit/>
        </w:trPr>
        <w:tc>
          <w:tcPr>
            <w:tcW w:type="pct" w:w="16%"/>
            <w:tcBorders>
              <w:top w:val="none" w:color="FFFFFF" w:sz="0"/>
              <w:left w:val="none" w:color="FFFFFF" w:sz="0"/>
              <w:bottom w:val="single" w:color="EAEEF0" w:sz="2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i w:val="false"/>
                <w:iCs w:val="false"/>
                <w:color w:val="1A1D21"/>
                <w:sz w:val="19"/>
                <w:szCs w:val="19"/>
              </w:rPr>
              <w:t xml:space="preserve">Transformation</w:t>
            </w:r>
          </w:p>
        </w:tc>
        <w:tc>
          <w:tcPr>
            <w:tcW w:type="pct" w:w="84%"/>
            <w:tcBorders>
              <w:top w:val="none" w:color="FFFFFF" w:sz="0"/>
              <w:left w:val="none" w:color="FFFFFF" w:sz="0"/>
              <w:bottom w:val="single" w:color="EAEEF0" w:sz="2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i w:val="false"/>
                <w:iCs w:val="false"/>
                <w:color w:val="1A1D21"/>
                <w:sz w:val="19"/>
                <w:szCs w:val="19"/>
              </w:rPr>
              <w:t xml:space="preserve">dbt, Python, SQL, Apache Spark, Informatica, IBM DataStage, Ab-Initio</w:t>
            </w:r>
          </w:p>
        </w:tc>
      </w:tr>
      <w:tr>
        <w:trPr>
          <w:cantSplit/>
        </w:trPr>
        <w:tc>
          <w:tcPr>
            <w:tcW w:type="pct" w:w="16%"/>
            <w:tcBorders>
              <w:top w:val="none" w:color="FFFFFF" w:sz="0"/>
              <w:left w:val="none" w:color="FFFFFF" w:sz="0"/>
              <w:bottom w:val="single" w:color="EAEEF0" w:sz="2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i w:val="false"/>
                <w:iCs w:val="false"/>
                <w:color w:val="1A1D21"/>
                <w:sz w:val="19"/>
                <w:szCs w:val="19"/>
              </w:rPr>
              <w:t xml:space="preserve">Infrastructure</w:t>
            </w:r>
          </w:p>
        </w:tc>
        <w:tc>
          <w:tcPr>
            <w:tcW w:type="pct" w:w="84%"/>
            <w:tcBorders>
              <w:top w:val="none" w:color="FFFFFF" w:sz="0"/>
              <w:left w:val="none" w:color="FFFFFF" w:sz="0"/>
              <w:bottom w:val="single" w:color="EAEEF0" w:sz="2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i w:val="false"/>
                <w:iCs w:val="false"/>
                <w:color w:val="1A1D21"/>
                <w:sz w:val="19"/>
                <w:szCs w:val="19"/>
              </w:rPr>
              <w:t xml:space="preserve">Terraform, Git, CI/CD, containerisation</w:t>
            </w:r>
          </w:p>
        </w:tc>
      </w:tr>
      <w:tr>
        <w:trPr>
          <w:cantSplit/>
        </w:trPr>
        <w:tc>
          <w:tcPr>
            <w:tcW w:type="pct" w:w="16%"/>
            <w:tcBorders>
              <w:top w:val="none" w:color="FFFFFF" w:sz="0"/>
              <w:left w:val="none" w:color="FFFFFF" w:sz="0"/>
              <w:bottom w:val="single" w:color="EAEEF0" w:sz="2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i w:val="false"/>
                <w:iCs w:val="false"/>
                <w:color w:val="1A1D21"/>
                <w:sz w:val="19"/>
                <w:szCs w:val="19"/>
              </w:rPr>
              <w:t xml:space="preserve">Architecture</w:t>
            </w:r>
          </w:p>
        </w:tc>
        <w:tc>
          <w:tcPr>
            <w:tcW w:type="pct" w:w="84%"/>
            <w:tcBorders>
              <w:top w:val="none" w:color="FFFFFF" w:sz="0"/>
              <w:left w:val="none" w:color="FFFFFF" w:sz="0"/>
              <w:bottom w:val="single" w:color="EAEEF0" w:sz="2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i w:val="false"/>
                <w:iCs w:val="false"/>
                <w:color w:val="1A1D21"/>
                <w:sz w:val="19"/>
                <w:szCs w:val="19"/>
              </w:rPr>
              <w:t xml:space="preserve">Microservices, API gateways, service discovery, load balancing, multicloud and hybrid patterns, data governance, cost optimisation</w:t>
            </w:r>
          </w:p>
        </w:tc>
      </w:tr>
      <w:tr>
        <w:trPr>
          <w:cantSplit/>
        </w:trPr>
        <w:tc>
          <w:tcPr>
            <w:tcW w:type="pct" w:w="16%"/>
            <w:tcBorders>
              <w:top w:val="none" w:color="FFFFFF" w:sz="0"/>
              <w:left w:val="none" w:color="FFFFFF" w:sz="0"/>
              <w:bottom w:val="single" w:color="EAEEF0" w:sz="2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i w:val="false"/>
                <w:iCs w:val="false"/>
                <w:color w:val="1A1D21"/>
                <w:sz w:val="19"/>
                <w:szCs w:val="19"/>
              </w:rPr>
              <w:t xml:space="preserve">Databases</w:t>
            </w:r>
          </w:p>
        </w:tc>
        <w:tc>
          <w:tcPr>
            <w:tcW w:type="pct" w:w="84%"/>
            <w:tcBorders>
              <w:top w:val="none" w:color="FFFFFF" w:sz="0"/>
              <w:left w:val="none" w:color="FFFFFF" w:sz="0"/>
              <w:bottom w:val="single" w:color="EAEEF0" w:sz="2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i w:val="false"/>
                <w:iCs w:val="false"/>
                <w:color w:val="1A1D21"/>
                <w:sz w:val="19"/>
                <w:szCs w:val="19"/>
              </w:rPr>
              <w:t xml:space="preserve">BigQuery, Teradata, Oracle, Greenplum</w:t>
            </w:r>
          </w:p>
        </w:tc>
      </w:tr>
      <w:tr>
        <w:trPr>
          <w:cantSplit/>
        </w:trPr>
        <w:tc>
          <w:tcPr>
            <w:tcW w:type="pct" w:w="16%"/>
            <w:tcBorders>
              <w:top w:val="none" w:color="FFFFFF" w:sz="0"/>
              <w:left w:val="none" w:color="FFFFFF" w:sz="0"/>
              <w:bottom w:val="single" w:color="EAEEF0" w:sz="2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i w:val="false"/>
                <w:iCs w:val="false"/>
                <w:color w:val="1A1D21"/>
                <w:sz w:val="19"/>
                <w:szCs w:val="19"/>
              </w:rPr>
              <w:t xml:space="preserve">BI</w:t>
            </w:r>
          </w:p>
        </w:tc>
        <w:tc>
          <w:tcPr>
            <w:tcW w:type="pct" w:w="84%"/>
            <w:tcBorders>
              <w:top w:val="none" w:color="FFFFFF" w:sz="0"/>
              <w:left w:val="none" w:color="FFFFFF" w:sz="0"/>
              <w:bottom w:val="single" w:color="EAEEF0" w:sz="2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i w:val="false"/>
                <w:iCs w:val="false"/>
                <w:color w:val="1A1D21"/>
                <w:sz w:val="19"/>
                <w:szCs w:val="19"/>
              </w:rPr>
              <w:t xml:space="preserve">Tableau, Looker Studio, Cognos</w:t>
            </w:r>
          </w:p>
        </w:tc>
      </w:tr>
      <w:tr>
        <w:trPr>
          <w:cantSplit/>
        </w:trPr>
        <w:tc>
          <w:tcPr>
            <w:tcW w:type="pct" w:w="16%"/>
            <w:tcBorders>
              <w:top w:val="none" w:color="FFFFFF" w:sz="0"/>
              <w:left w:val="none" w:color="FFFFFF" w:sz="0"/>
              <w:bottom w:val="single" w:color="EAEEF0" w:sz="2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i w:val="false"/>
                <w:iCs w:val="false"/>
                <w:color w:val="1A1D21"/>
                <w:sz w:val="19"/>
                <w:szCs w:val="19"/>
              </w:rPr>
              <w:t xml:space="preserve">Domains</w:t>
            </w:r>
          </w:p>
        </w:tc>
        <w:tc>
          <w:tcPr>
            <w:tcW w:type="pct" w:w="84%"/>
            <w:tcBorders>
              <w:top w:val="none" w:color="FFFFFF" w:sz="0"/>
              <w:left w:val="none" w:color="FFFFFF" w:sz="0"/>
              <w:bottom w:val="single" w:color="EAEEF0" w:sz="2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i w:val="false"/>
                <w:iCs w:val="false"/>
                <w:color w:val="1A1D21"/>
                <w:sz w:val="19"/>
                <w:szCs w:val="19"/>
              </w:rPr>
              <w:t xml:space="preserve">Banking, cards &amp; payments · Retail · Telecom</w:t>
            </w:r>
          </w:p>
        </w:tc>
      </w:tr>
    </w:tbl>
    <w:p>
      <w:pPr>
        <w:keepNext/>
        <w:pBdr>
          <w:bottom w:val="single" w:color="0B5C4D" w:sz="6" w:space="2"/>
        </w:pBdr>
        <w:spacing w:after="70" w:before="200" w:line="240"/>
      </w:pPr>
      <w:r>
        <w:rPr>
          <w:rFonts w:ascii="Calibri" w:cs="Calibri" w:eastAsia="Calibri" w:hAnsi="Calibri"/>
          <w:b/>
          <w:bCs/>
          <w:color w:val="0B5C4D"/>
          <w:spacing w:val="22"/>
          <w:sz w:val="18"/>
          <w:szCs w:val="18"/>
        </w:rPr>
        <w:t xml:space="preserve">EDUCATION &amp; CERTIFICATIONS</w:t>
      </w:r>
    </w:p>
    <w:p>
      <w:pPr>
        <w:keepNext w:val="false"/>
        <w:keepLines/>
        <w:spacing w:after="50" w:before="0" w:line="25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BE, Computer Science and Engineering</w:t>
      </w: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 — Walchand College of Engineering, Sangli (Shivaji University), 2003–2007</w:t>
      </w:r>
    </w:p>
    <w:p>
      <w:pPr>
        <w:pStyle w:val="ListParagraph"/>
        <w:keepLines/>
        <w:numPr>
          <w:ilvl w:val="0"/>
          <w:numId w:val="2"/>
        </w:numPr>
        <w:spacing w:after="20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0B0D0F"/>
          <w:sz w:val="20"/>
          <w:szCs w:val="20"/>
        </w:rPr>
        <w:t xml:space="preserve">Google Cloud Certified — Professional Data Engineer</w:t>
      </w:r>
    </w:p>
    <w:p>
      <w:pPr>
        <w:pStyle w:val="ListParagraph"/>
        <w:keepLines/>
        <w:numPr>
          <w:ilvl w:val="0"/>
          <w:numId w:val="2"/>
        </w:numPr>
        <w:spacing w:after="20" w:line="250"/>
      </w:pP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Google Cloud Professional Cloud Architect — in progress</w:t>
      </w:r>
    </w:p>
    <w:p>
      <w:pPr>
        <w:pStyle w:val="ListParagraph"/>
        <w:keepLines/>
        <w:numPr>
          <w:ilvl w:val="0"/>
          <w:numId w:val="2"/>
        </w:numPr>
        <w:spacing w:after="20" w:line="250"/>
      </w:pP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Data Engineering, Big Data and Machine Learning on GCP — Coursera specialisation</w:t>
      </w:r>
    </w:p>
    <w:p>
      <w:pPr>
        <w:pStyle w:val="ListParagraph"/>
        <w:keepLines/>
        <w:numPr>
          <w:ilvl w:val="0"/>
          <w:numId w:val="2"/>
        </w:numPr>
        <w:spacing w:after="20" w:line="250"/>
      </w:pPr>
      <w:r>
        <w:rPr>
          <w:rFonts w:ascii="Calibri" w:cs="Calibri" w:eastAsia="Calibri" w:hAnsi="Calibri"/>
          <w:i w:val="false"/>
          <w:iCs w:val="false"/>
          <w:color w:val="1A1D21"/>
          <w:sz w:val="20"/>
          <w:szCs w:val="20"/>
        </w:rPr>
        <w:t xml:space="preserve">Teradata Basics V2R5 · Teradata SQL V2R5 · Introduction to Oracle9i: SQL</w:t>
      </w:r>
    </w:p>
    <w:sectPr>
      <w:pgSz w:w="11906" w:h="16838" w:orient="portrait"/>
      <w:pgMar w:top="620" w:right="680" w:bottom="60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30"/>
      </w:pPr>
    </w:lvl>
    <w:lvl w:ilvl="1" w15:tentative="1">
      <w:start w:val="1"/>
      <w:numFmt w:val="bullet"/>
      <w:lvlText w:val="–"/>
      <w:lvlJc w:val="left"/>
      <w:pPr>
        <w:ind w:left="633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D2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line="250"/>
    </w:pPr>
    <w:rPr>
      <w:rFonts w:ascii="Calibri" w:cs="Calibri" w:eastAsia="Calibri" w:hAnsi="Calibri"/>
      <w:color w:val="1A1D21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Sachin Koli — Solution Architect, Cloud Data &amp; AI Platforms</dc:title>
  <dc:creator>Sachin Koli</dc:creator>
  <dc:description>Editable Word copy of Sachin_Koli_Resume.pdf.</dc:description>
  <cp:lastModifiedBy>Un-named</cp:lastModifiedBy>
  <cp:revision>1</cp:revision>
  <dcterms:created xsi:type="dcterms:W3CDTF">2026-08-30T18:15:33.331Z</dcterms:created>
  <dcterms:modified xsi:type="dcterms:W3CDTF">2026-08-30T18:15:33.331Z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