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500" w:lineRule="exact"/>
      </w:pPr>
      <w:r>
        <w:rPr>
          <w:rFonts w:ascii="Arial" w:cs="Arial" w:eastAsia="Arial" w:hAnsi="Arial"/>
          <w:b/>
          <w:bCs/>
          <w:color w:val="0B0D0F"/>
          <w:spacing w:val="-8"/>
          <w:sz w:val="50"/>
          <w:szCs w:val="50"/>
        </w:rPr>
        <w:t xml:space="preserve">Sachin Koli</w:t>
      </w:r>
    </w:p>
    <w:p>
      <w:pPr>
        <w:spacing w:after="20" w:before="0" w:line="293" w:lineRule="exact"/>
      </w:pPr>
      <w:r>
        <w:rPr>
          <w:rFonts w:ascii="Arial" w:cs="Arial" w:eastAsia="Arial" w:hAnsi="Arial"/>
          <w:b/>
          <w:bCs/>
          <w:color w:val="0B5C4D"/>
          <w:sz w:val="22"/>
          <w:szCs w:val="22"/>
        </w:rPr>
        <w:t xml:space="preserve">Solution Architect — Cloud Data &amp; AI Platforms</w:t>
      </w:r>
    </w:p>
    <w:p>
      <w:pPr>
        <w:spacing w:after="100" w:before="0" w:line="239" w:lineRule="exact"/>
      </w:pPr>
      <w:r>
        <w:rPr>
          <w:rFonts w:ascii="Arial" w:cs="Arial" w:eastAsia="Arial" w:hAnsi="Arial"/>
          <w:b/>
          <w:bCs/>
          <w:color w:val="35424A"/>
          <w:sz w:val="18"/>
          <w:szCs w:val="18"/>
        </w:rPr>
        <w:t xml:space="preserve">Google Cloud Certified — Professional Data Engineer</w:t>
      </w:r>
    </w:p>
    <w:p>
      <w:pPr>
        <w:pBdr>
          <w:top w:val="single" w:color="D8DEE2" w:sz="6" w:space="5"/>
        </w:pBdr>
        <w:spacing w:after="0" w:before="0" w:line="229" w:lineRule="exact"/>
      </w:pPr>
      <w:r>
        <w:rPr>
          <w:rFonts w:ascii="Arial" w:cs="Arial" w:eastAsia="Arial" w:hAnsi="Arial"/>
          <w:color w:val="4A545C"/>
          <w:sz w:val="17"/>
          <w:szCs w:val="17"/>
        </w:rPr>
        <w:t xml:space="preserve">Pune, India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·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4A545C"/>
          <w:sz w:val="17"/>
          <w:szCs w:val="17"/>
        </w:rPr>
        <w:t xml:space="preserve">+91 95522 36200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·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4A545C"/>
          <w:sz w:val="17"/>
          <w:szCs w:val="17"/>
        </w:rPr>
        <w:t xml:space="preserve">kolisachint@gmail.com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·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4A545C"/>
          <w:sz w:val="17"/>
          <w:szCs w:val="17"/>
        </w:rPr>
        <w:t xml:space="preserve">linkedin.com/in/kolisachint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·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4A545C"/>
          <w:sz w:val="17"/>
          <w:szCs w:val="17"/>
        </w:rPr>
        <w:t xml:space="preserve">github.com/kolisachint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·</w:t>
      </w:r>
      <w:r>
        <w:rPr>
          <w:rFonts w:ascii="Arial" w:cs="Arial" w:eastAsia="Arial" w:hAnsi="Arial"/>
          <w:color w:val="B3BCC2"/>
          <w:sz w:val="17"/>
          <w:szCs w:val="17"/>
        </w:rPr>
        <w:t xml:space="preserve"> </w:t>
      </w:r>
      <w:r>
        <w:rPr>
          <w:rFonts w:ascii="Arial" w:cs="Arial" w:eastAsia="Arial" w:hAnsi="Arial"/>
          <w:color w:val="4A545C"/>
          <w:sz w:val="17"/>
          <w:szCs w:val="17"/>
        </w:rPr>
        <w:t xml:space="preserve">kolisachint.github.io</w:t>
      </w:r>
      <w:r>
        <w:rPr>
          <w:rFonts w:ascii="Arial" w:cs="Arial" w:eastAsia="Arial" w:hAnsi="Arial"/>
          <w:color w:val="4A545C"/>
          <w:sz w:val="17"/>
          <w:szCs w:val="17"/>
        </w:rPr>
        <w:t xml:space="preserve"> </w:t>
      </w:r>
    </w:p>
    <w:p>
      <w:pPr>
        <w:keepNext/>
        <w:pBdr>
          <w:bottom w:val="single" w:color="0B5C4D" w:sz="6" w:space="2"/>
        </w:pBdr>
        <w:spacing w:after="80" w:before="190" w:line="215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SUMMARY</w:t>
      </w:r>
    </w:p>
    <w:p>
      <w:pPr>
        <w:spacing w:after="68" w:before="0" w:line="241" w:lineRule="exact"/>
        <w:jc w:val="both"/>
      </w:pP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Google Cloud Certified Professional Data Engineer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with </w:t>
      </w: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18 years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building enterprise data platforms, now architecting </w:t>
      </w: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real-time streaming and batch data infrastructure on Google Cloud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for a UK tier-1 retail bank — Confluent Kafka, Cloud Composer, dbt, BigQuery and Terraform, spanning legacy on-premise and cloud environments.</w:t>
      </w:r>
    </w:p>
    <w:p>
      <w:pPr>
        <w:spacing w:after="68" w:before="0" w:line="241" w:lineRule="exact"/>
        <w:jc w:val="both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Previously architected </w:t>
      </w: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digital cards and payments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at the same bank, migrating card servicing to GCP. The self-serve fraud journey I designed won at the </w:t>
      </w: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Banking Tech Awards 2024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and the </w:t>
      </w: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Card &amp; Payments Awards 2025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.</w:t>
      </w:r>
    </w:p>
    <w:p>
      <w:pPr>
        <w:spacing w:after="68" w:before="0" w:line="241" w:lineRule="exact"/>
        <w:jc w:val="both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Across twelve prior years in retail, telecom and banking data: a </w:t>
      </w: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Teradata → BigQuery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lake migration, and a customer preference API on GCP that </w:t>
      </w: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cut $600,000 a year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in operating cost. Alongside all of it I </w:t>
      </w: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ship applied-AI tooling in the open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— a terminal coding agent published to npm, and the Rust beneath it: ONNX inference, an ANN index written from scratch, hybrid dense/lexical retrieval.</w:t>
      </w:r>
    </w:p>
    <w:p>
      <w:pPr>
        <w:keepNext/>
        <w:pBdr>
          <w:bottom w:val="single" w:color="0B5C4D" w:sz="6" w:space="2"/>
        </w:pBdr>
        <w:spacing w:after="80" w:before="122" w:line="215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EXPERIENCE</w:t>
      </w:r>
    </w:p>
    <w:p>
      <w:pPr>
        <w:keepNext/>
        <w:tabs>
          <w:tab w:val="right" w:pos="10546"/>
        </w:tabs>
        <w:spacing w:after="0" w:before="0" w:line="241" w:lineRule="exact"/>
      </w:pPr>
      <w:r>
        <w:rPr>
          <w:rFonts w:ascii="Arial" w:cs="Arial" w:eastAsia="Arial" w:hAnsi="Arial"/>
          <w:b/>
          <w:bCs/>
          <w:color w:val="0B0D0F"/>
          <w:sz w:val="21"/>
          <w:szCs w:val="21"/>
        </w:rPr>
        <w:t xml:space="preserve">Tata Consultancy Services</w:t>
      </w:r>
      <w:r>
        <w:t xml:space="preserve">	</w:t>
      </w:r>
      <w:r>
        <w:rPr>
          <w:rFonts w:ascii="Arial" w:cs="Arial" w:eastAsia="Arial" w:hAnsi="Arial"/>
          <w:b/>
          <w:bCs/>
          <w:color w:val="5A646C"/>
          <w:sz w:val="17"/>
          <w:szCs w:val="17"/>
        </w:rPr>
        <w:t xml:space="preserve">Sep 2021 – Present</w:t>
      </w:r>
    </w:p>
    <w:p>
      <w:pPr>
        <w:keepNext/>
        <w:spacing w:after="0" w:before="10" w:line="239" w:lineRule="exact"/>
      </w:pPr>
      <w:r>
        <w:rPr>
          <w:rFonts w:ascii="Arial" w:cs="Arial" w:eastAsia="Arial" w:hAnsi="Arial"/>
          <w:color w:val="35424A"/>
          <w:sz w:val="18"/>
          <w:szCs w:val="18"/>
        </w:rPr>
        <w:t xml:space="preserve">Solution Architect · Pune, India</w:t>
      </w:r>
    </w:p>
    <w:p>
      <w:pPr>
        <w:keepNext/>
        <w:spacing w:after="0" w:before="50" w:line="226" w:lineRule="exact"/>
      </w:pPr>
      <w:r>
        <w:rPr>
          <w:rFonts w:ascii="Arial" w:cs="Arial" w:eastAsia="Arial" w:hAnsi="Arial"/>
          <w:b/>
          <w:bCs/>
          <w:color w:val="0B5C4D"/>
          <w:sz w:val="17"/>
          <w:szCs w:val="17"/>
        </w:rPr>
        <w:t xml:space="preserve">Client: Lloyds Banking Group, United Kingdom</w:t>
      </w:r>
    </w:p>
    <w:p>
      <w:pPr>
        <w:keepNext/>
        <w:spacing w:after="0" w:before="68" w:line="239" w:lineRule="exact"/>
      </w:pPr>
      <w:r>
        <w:rPr>
          <w:rFonts w:ascii="Arial" w:cs="Arial" w:eastAsia="Arial" w:hAnsi="Arial"/>
          <w:b/>
          <w:bCs/>
          <w:color w:val="35424A"/>
          <w:sz w:val="18"/>
          <w:szCs w:val="18"/>
        </w:rPr>
        <w:t xml:space="preserve">Data Platform &amp; Real-Time Analytics</w:t>
      </w:r>
      <w:r>
        <w:rPr>
          <w:rFonts w:ascii="Arial" w:cs="Arial" w:eastAsia="Arial" w:hAnsi="Arial"/>
          <w:color w:val="35424A"/>
          <w:sz w:val="18"/>
          <w:szCs w:val="18"/>
        </w:rPr>
        <w:t xml:space="preserve"> </w:t>
      </w:r>
      <w:r>
        <w:rPr>
          <w:rFonts w:ascii="Arial" w:cs="Arial" w:eastAsia="Arial" w:hAnsi="Arial"/>
          <w:b/>
          <w:bCs/>
          <w:color w:val="5A646C"/>
          <w:sz w:val="17"/>
          <w:szCs w:val="17"/>
        </w:rPr>
        <w:t xml:space="preserve">— Jul 2025 – Present</w:t>
      </w:r>
    </w:p>
    <w:p>
      <w:pPr>
        <w:pStyle w:val="ListParagraph"/>
        <w:keepLines/>
        <w:numPr>
          <w:ilvl w:val="0"/>
          <w:numId w:val="2"/>
        </w:numPr>
        <w:spacing w:after="38" w:before="48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Architected the bank's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end-to-end batch and real-time streaming data platform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on Google Cloud, supporting high-throughput analytics, operational reporting and machine learning workloads.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Engineered high-availability, event-driven ingestion pipelines on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Confluent Kafka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with Python, delivering low-latency data for operational reporting and instant business insight.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Architected hybrid batch orchestration across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Cloud Composer (Apache Airflow)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and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IBM Tivoli Workload Scheduler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, managing complex dependency graphs that span legacy on-premise and cloud environments.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Designed optimised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BigQuery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warehouse schemas and modular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dbt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transformation pipelines with enforced data quality and lineage; built automated testing, validation and monitoring frameworks so downstream analytics fail loudly rather than silently.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Standardised infrastructure with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Terraform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— Composer environments, BigQuery datasets, Kafka connectors and IAM roles — and integrated it into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CI/CD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, cutting configuration drift and deployment cycle time.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Implemented BigQuery and GCP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cost optimisation and governance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, reducing compute overhead while improving query performance and data security.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Partnered with leadership, security and business units to turn requirements into production-ready architectural blueprints.</w:t>
      </w:r>
    </w:p>
    <w:p>
      <w:pPr>
        <w:keepNext/>
        <w:spacing w:after="0" w:before="30" w:line="239" w:lineRule="exact"/>
      </w:pPr>
      <w:r>
        <w:rPr>
          <w:rFonts w:ascii="Arial" w:cs="Arial" w:eastAsia="Arial" w:hAnsi="Arial"/>
          <w:b/>
          <w:bCs/>
          <w:color w:val="35424A"/>
          <w:sz w:val="18"/>
          <w:szCs w:val="18"/>
        </w:rPr>
        <w:t xml:space="preserve">Digital Cards Modernisation</w:t>
      </w:r>
      <w:r>
        <w:rPr>
          <w:rFonts w:ascii="Arial" w:cs="Arial" w:eastAsia="Arial" w:hAnsi="Arial"/>
          <w:color w:val="35424A"/>
          <w:sz w:val="18"/>
          <w:szCs w:val="18"/>
        </w:rPr>
        <w:t xml:space="preserve"> </w:t>
      </w:r>
      <w:r>
        <w:rPr>
          <w:rFonts w:ascii="Arial" w:cs="Arial" w:eastAsia="Arial" w:hAnsi="Arial"/>
          <w:b/>
          <w:bCs/>
          <w:color w:val="5A646C"/>
          <w:sz w:val="17"/>
          <w:szCs w:val="17"/>
        </w:rPr>
        <w:t xml:space="preserve">— 2022 – Jul 2025</w:t>
      </w:r>
    </w:p>
    <w:p>
      <w:pPr>
        <w:pStyle w:val="ListParagraph"/>
        <w:keepLines/>
        <w:numPr>
          <w:ilvl w:val="0"/>
          <w:numId w:val="2"/>
        </w:numPr>
        <w:spacing w:after="38" w:before="48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Led end-to-end modernisation of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Digital Cards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— Add to Wallet, card controls, View PIN / View Card — migrating from on-premise infrastructure to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GCP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Architected secure, scalable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microservices and cross-cloud API patterns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meeting banking compliance and performance requirements.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Award-winning self-serve fraud journey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— recognised at the Banking Tech Awards 2024 and the Card &amp; Payments Awards 2025 — moving fraud handling from an assisted call-centre process to a journey the customer completes.</w:t>
      </w:r>
    </w:p>
    <w:p>
      <w:pPr>
        <w:pStyle w:val="ListParagraph"/>
        <w:keepLines/>
        <w:numPr>
          <w:ilvl w:val="0"/>
          <w:numId w:val="2"/>
        </w:numPr>
        <w:spacing w:after="130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Designed service discovery, API gateways, containerisation, load balancing and secure inter-service communication across a hybrid estate.</w:t>
      </w:r>
    </w:p>
    <w:p>
      <w:pPr>
        <w:keepNext/>
        <w:tabs>
          <w:tab w:val="right" w:pos="10546"/>
        </w:tabs>
        <w:spacing w:after="0" w:before="0" w:line="241" w:lineRule="exact"/>
      </w:pPr>
      <w:r>
        <w:rPr>
          <w:rFonts w:ascii="Arial" w:cs="Arial" w:eastAsia="Arial" w:hAnsi="Arial"/>
          <w:b/>
          <w:bCs/>
          <w:color w:val="0B0D0F"/>
          <w:sz w:val="21"/>
          <w:szCs w:val="21"/>
        </w:rPr>
        <w:t xml:space="preserve">Sears IT and Management Services India</w:t>
      </w:r>
      <w:r>
        <w:t xml:space="preserve">	</w:t>
      </w:r>
      <w:r>
        <w:rPr>
          <w:rFonts w:ascii="Arial" w:cs="Arial" w:eastAsia="Arial" w:hAnsi="Arial"/>
          <w:b/>
          <w:bCs/>
          <w:color w:val="5A646C"/>
          <w:sz w:val="17"/>
          <w:szCs w:val="17"/>
        </w:rPr>
        <w:t xml:space="preserve">Feb 2018 – Sep 2021</w:t>
      </w:r>
    </w:p>
    <w:p>
      <w:pPr>
        <w:keepNext/>
        <w:spacing w:after="0" w:before="10" w:line="239" w:lineRule="exact"/>
      </w:pPr>
      <w:r>
        <w:rPr>
          <w:rFonts w:ascii="Arial" w:cs="Arial" w:eastAsia="Arial" w:hAnsi="Arial"/>
          <w:color w:val="35424A"/>
          <w:sz w:val="18"/>
          <w:szCs w:val="18"/>
        </w:rPr>
        <w:t xml:space="preserve">Technical Specialist → Architect · Pune, India</w:t>
      </w:r>
    </w:p>
    <w:p>
      <w:pPr>
        <w:keepNext/>
        <w:spacing w:after="0" w:before="50" w:line="226" w:lineRule="exact"/>
      </w:pPr>
      <w:r>
        <w:rPr>
          <w:rFonts w:ascii="Arial" w:cs="Arial" w:eastAsia="Arial" w:hAnsi="Arial"/>
          <w:b/>
          <w:bCs/>
          <w:color w:val="0B5C4D"/>
          <w:sz w:val="17"/>
          <w:szCs w:val="17"/>
        </w:rPr>
        <w:t xml:space="preserve">Client: Sears Holdings Corporation, United States </w:t>
      </w:r>
      <w:r>
        <w:rPr>
          <w:rFonts w:ascii="Arial" w:cs="Arial" w:eastAsia="Arial" w:hAnsi="Arial"/>
          <w:color w:val="6B757C"/>
          <w:sz w:val="17"/>
          <w:szCs w:val="17"/>
        </w:rPr>
        <w:t xml:space="preserve">— Targeted Interactions / TI Mart</w:t>
      </w:r>
    </w:p>
    <w:p>
      <w:pPr>
        <w:pStyle w:val="ListParagraph"/>
        <w:keepLines/>
        <w:numPr>
          <w:ilvl w:val="0"/>
          <w:numId w:val="2"/>
        </w:numPr>
        <w:spacing w:after="38" w:before="48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Built the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Email Preference Center API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on GCP App Engine, Pub/Sub, DataFlow and BigQuery, serving millions of customers —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reduced annual cost by $600,000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Migrated DataMarts from Teradata to BigQuery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, on schedule and without significant incident.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Built an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API management layer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decoupling applications from cloud complexity across a multicloud estate — reused as the blueprint by other teams.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Replaced self-hosted tooling with cloud-native across five stacks: Teradata → BigQuery · Unix → Compute Engine · Control-M → Airflow · shell/ETL → Python · GitLab Enterprise → Cloud Source Repositories.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Designed shared datamarts (CDW, NSegment, Campaign) in BigQuery; led enterprise migration from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IBM Unica to Adobe Campaign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and Telluride, coordinating vendors (Adobe, BounceX) and internal teams.</w:t>
      </w:r>
    </w:p>
    <w:p>
      <w:pPr>
        <w:pStyle w:val="ListParagraph"/>
        <w:keepLines/>
        <w:numPr>
          <w:ilvl w:val="0"/>
          <w:numId w:val="2"/>
        </w:numPr>
        <w:spacing w:after="130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Delivered Tableau and Data Studio reporting; ran continuous GCP cost optimisation.</w:t>
      </w:r>
    </w:p>
    <w:p>
      <w:pPr>
        <w:keepNext/>
        <w:tabs>
          <w:tab w:val="right" w:pos="10546"/>
        </w:tabs>
        <w:spacing w:after="0" w:before="0" w:line="241" w:lineRule="exact"/>
      </w:pPr>
      <w:r>
        <w:rPr>
          <w:rFonts w:ascii="Arial" w:cs="Arial" w:eastAsia="Arial" w:hAnsi="Arial"/>
          <w:b/>
          <w:bCs/>
          <w:color w:val="0B0D0F"/>
          <w:sz w:val="21"/>
          <w:szCs w:val="21"/>
        </w:rPr>
        <w:t xml:space="preserve">Cognizant Technology Solutions</w:t>
      </w:r>
      <w:r>
        <w:t xml:space="preserve">	</w:t>
      </w:r>
      <w:r>
        <w:rPr>
          <w:rFonts w:ascii="Arial" w:cs="Arial" w:eastAsia="Arial" w:hAnsi="Arial"/>
          <w:b/>
          <w:bCs/>
          <w:color w:val="5A646C"/>
          <w:sz w:val="17"/>
          <w:szCs w:val="17"/>
        </w:rPr>
        <w:t xml:space="preserve">Nov 2010 – Feb 2018</w:t>
      </w:r>
    </w:p>
    <w:p>
      <w:pPr>
        <w:keepNext/>
        <w:spacing w:after="0" w:before="10" w:line="239" w:lineRule="exact"/>
      </w:pPr>
      <w:r>
        <w:rPr>
          <w:rFonts w:ascii="Arial" w:cs="Arial" w:eastAsia="Arial" w:hAnsi="Arial"/>
          <w:color w:val="35424A"/>
          <w:sz w:val="18"/>
          <w:szCs w:val="18"/>
        </w:rPr>
        <w:t xml:space="preserve">Senior Associate – Projects · Pune, India</w:t>
      </w:r>
    </w:p>
    <w:p>
      <w:pPr>
        <w:keepNext/>
        <w:spacing w:after="0" w:before="50" w:line="226" w:lineRule="exact"/>
      </w:pPr>
      <w:r>
        <w:rPr>
          <w:rFonts w:ascii="Arial" w:cs="Arial" w:eastAsia="Arial" w:hAnsi="Arial"/>
          <w:b/>
          <w:bCs/>
          <w:color w:val="0B5C4D"/>
          <w:sz w:val="17"/>
          <w:szCs w:val="17"/>
        </w:rPr>
        <w:t xml:space="preserve">Client: Saudi Telecom Company, Saudi Arabia </w:t>
      </w:r>
      <w:r>
        <w:rPr>
          <w:rFonts w:ascii="Arial" w:cs="Arial" w:eastAsia="Arial" w:hAnsi="Arial"/>
          <w:color w:val="6B757C"/>
          <w:sz w:val="17"/>
          <w:szCs w:val="17"/>
        </w:rPr>
        <w:t xml:space="preserve">— STC EDW (CLDM7 / CLDM12) · Onsite IT Delivery Lead · Feb 2015 – Feb 2018</w:t>
      </w:r>
    </w:p>
    <w:p>
      <w:pPr>
        <w:pStyle w:val="ListParagraph"/>
        <w:keepLines/>
        <w:numPr>
          <w:ilvl w:val="0"/>
          <w:numId w:val="2"/>
        </w:numPr>
        <w:spacing w:after="38" w:before="48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Led data modelling for the enterprise warehouse covering customers, accounts, subscriptions, offers and products across all channels and business units.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Extended the model by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snowflaking dimensions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— demographics, account status, subscription status.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Built an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automation tool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propagating a new key through every dimension table, Teradata utility script (FastLoad, MultiLoad, FastExport, BTEQ) and Ab-Initio object automatically.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Ran a big-data POC on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Apache Hive and HDFS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for CDR ingestion.</w:t>
      </w:r>
    </w:p>
    <w:p>
      <w:pPr>
        <w:keepNext/>
        <w:spacing w:after="0" w:before="12" w:line="226" w:lineRule="exact"/>
      </w:pPr>
      <w:r>
        <w:rPr>
          <w:rFonts w:ascii="Arial" w:cs="Arial" w:eastAsia="Arial" w:hAnsi="Arial"/>
          <w:b/>
          <w:bCs/>
          <w:color w:val="0B5C4D"/>
          <w:sz w:val="17"/>
          <w:szCs w:val="17"/>
        </w:rPr>
        <w:t xml:space="preserve">Client: Barclays, United Kingdom </w:t>
      </w:r>
      <w:r>
        <w:rPr>
          <w:rFonts w:ascii="Arial" w:cs="Arial" w:eastAsia="Arial" w:hAnsi="Arial"/>
          <w:color w:val="6B757C"/>
          <w:sz w:val="17"/>
          <w:szCs w:val="17"/>
        </w:rPr>
        <w:t xml:space="preserve">— Emerging Markets DW &amp; One Africa Program · Team Lead · Nov 2010 – Feb 2015</w:t>
      </w:r>
    </w:p>
    <w:p>
      <w:pPr>
        <w:pStyle w:val="ListParagraph"/>
        <w:keepLines/>
        <w:numPr>
          <w:ilvl w:val="0"/>
          <w:numId w:val="2"/>
        </w:numPr>
        <w:spacing w:after="38" w:before="48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Built staging from core banking (FLEX), ATM/POS (SPARROW) and online transaction sources, then the DataMarts above them.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One Africa: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unified emerging-market data across African countries into a single source of truth, letting one DataMart span new countries with no rework.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Designed the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logical and physical data models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; built reusable automation — TWS object-creation tool, Teradata acquisition code generator, Unix deployment tooling.</w:t>
      </w:r>
    </w:p>
    <w:p>
      <w:pPr>
        <w:pStyle w:val="ListParagraph"/>
        <w:keepLines/>
        <w:numPr>
          <w:ilvl w:val="0"/>
          <w:numId w:val="2"/>
        </w:numPr>
        <w:spacing w:after="130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Implemented archiving and purging against the active warehouse, tiering history to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Greenplum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.</w:t>
      </w:r>
    </w:p>
    <w:p>
      <w:pPr>
        <w:keepNext/>
        <w:tabs>
          <w:tab w:val="right" w:pos="10546"/>
        </w:tabs>
        <w:spacing w:after="0" w:before="0" w:line="241" w:lineRule="exact"/>
      </w:pPr>
      <w:r>
        <w:rPr>
          <w:rFonts w:ascii="Arial" w:cs="Arial" w:eastAsia="Arial" w:hAnsi="Arial"/>
          <w:b/>
          <w:bCs/>
          <w:color w:val="0B0D0F"/>
          <w:sz w:val="21"/>
          <w:szCs w:val="21"/>
        </w:rPr>
        <w:t xml:space="preserve">Mahindra Satyam</w:t>
      </w:r>
      <w:r>
        <w:t xml:space="preserve">	</w:t>
      </w:r>
      <w:r>
        <w:rPr>
          <w:rFonts w:ascii="Arial" w:cs="Arial" w:eastAsia="Arial" w:hAnsi="Arial"/>
          <w:b/>
          <w:bCs/>
          <w:color w:val="5A646C"/>
          <w:sz w:val="17"/>
          <w:szCs w:val="17"/>
        </w:rPr>
        <w:t xml:space="preserve">Jan 2008 – Nov 2010</w:t>
      </w:r>
    </w:p>
    <w:p>
      <w:pPr>
        <w:keepNext/>
        <w:spacing w:after="0" w:before="10" w:line="239" w:lineRule="exact"/>
      </w:pPr>
      <w:r>
        <w:rPr>
          <w:rFonts w:ascii="Arial" w:cs="Arial" w:eastAsia="Arial" w:hAnsi="Arial"/>
          <w:color w:val="35424A"/>
          <w:sz w:val="18"/>
          <w:szCs w:val="18"/>
        </w:rPr>
        <w:t xml:space="preserve">Software Developer – S2 · Hyderabad / Bangalore, India</w:t>
      </w:r>
    </w:p>
    <w:p>
      <w:pPr>
        <w:keepNext/>
        <w:spacing w:after="0" w:before="50" w:line="226" w:lineRule="exact"/>
      </w:pPr>
      <w:r>
        <w:rPr>
          <w:rFonts w:ascii="Arial" w:cs="Arial" w:eastAsia="Arial" w:hAnsi="Arial"/>
          <w:b/>
          <w:bCs/>
          <w:color w:val="0B5C4D"/>
          <w:sz w:val="17"/>
          <w:szCs w:val="17"/>
        </w:rPr>
        <w:t xml:space="preserve">Client: Telstra Corporation, Australia </w:t>
      </w:r>
      <w:r>
        <w:rPr>
          <w:rFonts w:ascii="Arial" w:cs="Arial" w:eastAsia="Arial" w:hAnsi="Arial"/>
          <w:color w:val="6B757C"/>
          <w:sz w:val="17"/>
          <w:szCs w:val="17"/>
        </w:rPr>
        <w:t xml:space="preserve">— TR2.1 / TR2.2 EDW Data-In</w:t>
      </w:r>
    </w:p>
    <w:p>
      <w:pPr>
        <w:pStyle w:val="ListParagraph"/>
        <w:keepLines/>
        <w:numPr>
          <w:ilvl w:val="0"/>
          <w:numId w:val="2"/>
        </w:numPr>
        <w:spacing w:after="38" w:before="48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Built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DataStage 7.5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jobs, Teradata utility scripts and Perl/Unix tooling for the retail customer warehouse — registrations, demographics, segmentation, billed and unbilled call records.</w:t>
      </w:r>
    </w:p>
    <w:p>
      <w:pPr>
        <w:pStyle w:val="ListParagraph"/>
        <w:keepLines/>
        <w:numPr>
          <w:ilvl w:val="0"/>
          <w:numId w:val="2"/>
        </w:numPr>
        <w:spacing w:after="130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Built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Informatica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mappings and workflows migrating Oracle to Teradata for an enterprise data warehouse.</w:t>
      </w:r>
    </w:p>
    <w:p>
      <w:pPr>
        <w:keepNext/>
        <w:pBdr>
          <w:bottom w:val="single" w:color="0B5C4D" w:sz="6" w:space="2"/>
        </w:pBdr>
        <w:spacing w:after="80" w:before="60" w:line="215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OPEN SOURCE — APPLIED AI &amp; AGENT TOOLING</w:t>
      </w:r>
    </w:p>
    <w:p>
      <w:pPr>
        <w:spacing w:after="0" w:before="0" w:line="223" w:lineRule="exact"/>
      </w:pPr>
      <w:r>
        <w:rPr>
          <w:rFonts w:ascii="Arial" w:cs="Arial" w:eastAsia="Arial" w:hAnsi="Arial"/>
          <w:i/>
          <w:iCs/>
          <w:color w:val="5A646C"/>
          <w:sz w:val="17"/>
          <w:szCs w:val="17"/>
        </w:rPr>
        <w:t xml:space="preserve">Built in my own time and shipped in public — </w:t>
      </w:r>
      <w:r>
        <w:rPr>
          <w:rFonts w:ascii="Arial" w:cs="Arial" w:eastAsia="Arial" w:hAnsi="Arial"/>
          <w:b/>
          <w:bCs/>
          <w:i/>
          <w:iCs/>
          <w:color w:val="5A646C"/>
          <w:sz w:val="17"/>
          <w:szCs w:val="17"/>
        </w:rPr>
        <w:t xml:space="preserve">github.com/kolisachint</w:t>
      </w:r>
    </w:p>
    <w:p>
      <w:pPr>
        <w:pStyle w:val="ListParagraph"/>
        <w:keepLines/>
        <w:numPr>
          <w:ilvl w:val="0"/>
          <w:numId w:val="2"/>
        </w:numPr>
        <w:spacing w:after="38" w:before="48" w:line="241" w:lineRule="exact"/>
      </w:pP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hoocode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— deterministic terminal coding agent,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published to npm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. TypeScript monorepo of four packages: CLI, agent runtime with tool calling, a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unified LLM API across 25+ providers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, and a differential-rendering TUI. Permission gate on every edit and command, four scoped modes, MCP servers and subagents. ~470 commits since May 2026, extending a fork of the MIT-licensed </w:t>
      </w:r>
      <w:r>
        <w:rPr>
          <w:rFonts w:ascii="Arial" w:cs="Arial" w:eastAsia="Arial" w:hAnsi="Arial"/>
          <w:i/>
          <w:iCs/>
          <w:color w:val="1A1D21"/>
          <w:sz w:val="18"/>
          <w:szCs w:val="18"/>
        </w:rPr>
        <w:t xml:space="preserve">pi-mono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embeddingsearchtools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(Rust) — embedding search engine. MiniLM via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ONNX Runtime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, int8 weights bundled into the binary; exact and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HNSW approximate-nearest-neighbour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indexes written from scratch;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BM25 fusion for hybrid retrieval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; mmap-friendly store behind a library API, CLI and daemon.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voicetools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(Rust) — offline speech-to-text. Mic capture through voice-activity detection into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Parakeet-TDT on ONNX Runtime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(25 languages, int8), whisper.cpp fallback.</w:t>
      </w:r>
    </w:p>
    <w:p>
      <w:pPr>
        <w:pStyle w:val="ListParagraph"/>
        <w:keepLines/>
        <w:numPr>
          <w:ilvl w:val="0"/>
          <w:numId w:val="2"/>
        </w:numPr>
        <w:spacing w:after="38" w:before="0" w:line="241" w:lineRule="exact"/>
      </w:pP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webtools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(Rust) — token-efficient fetch and search for LLM agents; reference-style URL preservation collapses links to single-token markers under a total token budget.</w:t>
      </w:r>
    </w:p>
    <w:p>
      <w:pPr>
        <w:keepNext/>
        <w:pBdr>
          <w:bottom w:val="single" w:color="0B5C4D" w:sz="6" w:space="2"/>
        </w:pBdr>
        <w:spacing w:after="80" w:before="152" w:line="215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TECHNICAL</w:t>
      </w:r>
    </w:p>
    <w:tbl>
      <w:tblPr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680"/>
        <w:gridCol w:w="8866"/>
      </w:tblGrid>
      <w:tr>
        <w:trPr>
          <w:cantSplit/>
        </w:trPr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b/>
                <w:bCs/>
                <w:color w:val="0B0D0F"/>
                <w:sz w:val="18"/>
                <w:szCs w:val="18"/>
              </w:rPr>
              <w:t xml:space="preserve">Cloud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Google Cloud Platform — BigQuery, Cloud Composer, DataFlow, Pub/Sub, App Engine, Cloud Functions, DataProc, Cloud Storage, Compute Engine, Memorystore, Cloud SQL, VPC, IAM · AWS (S3)</w:t>
            </w:r>
          </w:p>
        </w:tc>
      </w:tr>
      <w:tr>
        <w:trPr>
          <w:cantSplit/>
        </w:trPr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b/>
                <w:bCs/>
                <w:color w:val="0B0D0F"/>
                <w:sz w:val="18"/>
                <w:szCs w:val="18"/>
              </w:rPr>
              <w:t xml:space="preserve">Streaming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Confluent Kafka, Pub/Sub, Apache Beam, event-driven architecture</w:t>
            </w:r>
          </w:p>
        </w:tc>
      </w:tr>
      <w:tr>
        <w:trPr>
          <w:cantSplit/>
        </w:trPr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b/>
                <w:bCs/>
                <w:color w:val="0B0D0F"/>
                <w:sz w:val="18"/>
                <w:szCs w:val="18"/>
              </w:rPr>
              <w:t xml:space="preserve">Orchestration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Cloud Composer / Apache Airflow, IBM Tivoli Workload Scheduler, Control-M</w:t>
            </w:r>
          </w:p>
        </w:tc>
      </w:tr>
      <w:tr>
        <w:trPr>
          <w:cantSplit/>
        </w:trPr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b/>
                <w:bCs/>
                <w:color w:val="0B0D0F"/>
                <w:sz w:val="18"/>
                <w:szCs w:val="18"/>
              </w:rPr>
              <w:t xml:space="preserve">Transformation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dbt, Python, SQL, Apache Spark, Informatica, IBM DataStage, Ab-Initio</w:t>
            </w:r>
          </w:p>
        </w:tc>
      </w:tr>
      <w:tr>
        <w:trPr>
          <w:cantSplit/>
        </w:trPr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b/>
                <w:bCs/>
                <w:color w:val="0B0D0F"/>
                <w:sz w:val="18"/>
                <w:szCs w:val="18"/>
              </w:rPr>
              <w:t xml:space="preserve">Infrastructure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Terraform, Git, CI/CD, containerisation</w:t>
            </w:r>
          </w:p>
        </w:tc>
      </w:tr>
      <w:tr>
        <w:trPr>
          <w:cantSplit/>
        </w:trPr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b/>
                <w:bCs/>
                <w:color w:val="0B0D0F"/>
                <w:sz w:val="18"/>
                <w:szCs w:val="18"/>
              </w:rPr>
              <w:t xml:space="preserve">Architecture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Microservices, API gateways, service discovery, load balancing, multicloud and hybrid patterns, data governance, cost optimisation</w:t>
            </w:r>
          </w:p>
        </w:tc>
      </w:tr>
      <w:tr>
        <w:trPr>
          <w:cantSplit/>
        </w:trPr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b/>
                <w:bCs/>
                <w:color w:val="0B0D0F"/>
                <w:sz w:val="18"/>
                <w:szCs w:val="18"/>
              </w:rPr>
              <w:t xml:space="preserve">Databases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BigQuery, Teradata, Oracle, Greenplum</w:t>
            </w:r>
          </w:p>
        </w:tc>
      </w:tr>
      <w:tr>
        <w:trPr>
          <w:cantSplit/>
        </w:trPr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b/>
                <w:bCs/>
                <w:color w:val="0B0D0F"/>
                <w:sz w:val="18"/>
                <w:szCs w:val="18"/>
              </w:rPr>
              <w:t xml:space="preserve">BI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Tableau, Looker Studio, Cognos</w:t>
            </w:r>
          </w:p>
        </w:tc>
      </w:tr>
      <w:tr>
        <w:trPr>
          <w:cantSplit/>
        </w:trPr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b/>
                <w:bCs/>
                <w:color w:val="0B0D0F"/>
                <w:sz w:val="18"/>
                <w:szCs w:val="18"/>
              </w:rPr>
              <w:t xml:space="preserve">Domains</w:t>
            </w:r>
          </w:p>
        </w:tc>
        <w:tc>
          <w:tcPr>
            <w:tcW w:type="dxa" w:w="8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8"/>
              <w:left w:type="dxa" w:w="0"/>
              <w:bottom w:type="dxa" w:w="38"/>
              <w:right w:type="dxa" w:w="160"/>
            </w:tcMar>
          </w:tcPr>
          <w:p>
            <w:pPr>
              <w:spacing w:after="0" w:before="0" w:line="241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Banking, cards &amp; payments · Retail · Telecom</w:t>
            </w:r>
          </w:p>
        </w:tc>
      </w:tr>
    </w:tbl>
    <w:p>
      <w:pPr>
        <w:keepNext/>
        <w:pBdr>
          <w:bottom w:val="single" w:color="0B5C4D" w:sz="6" w:space="2"/>
        </w:pBdr>
        <w:spacing w:after="80" w:before="190" w:line="215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EDUCATION &amp; CERTIFICATIONS</w:t>
      </w:r>
    </w:p>
    <w:p>
      <w:pPr>
        <w:spacing w:after="50" w:before="0" w:line="241" w:lineRule="exact"/>
      </w:pPr>
      <w:r>
        <w:rPr>
          <w:rFonts w:ascii="Arial" w:cs="Arial" w:eastAsia="Arial" w:hAnsi="Arial"/>
          <w:b/>
          <w:bCs/>
          <w:color w:val="0B0D0F"/>
          <w:sz w:val="18"/>
          <w:szCs w:val="18"/>
        </w:rPr>
        <w:t xml:space="preserve">BE, Computer Science and Engineering</w:t>
      </w:r>
      <w:r>
        <w:rPr>
          <w:rFonts w:ascii="Arial" w:cs="Arial" w:eastAsia="Arial" w:hAnsi="Arial"/>
          <w:color w:val="1A1D21"/>
          <w:sz w:val="18"/>
          <w:szCs w:val="18"/>
        </w:rPr>
        <w:t xml:space="preserve"> — Walchand College of Engineering, Sangli (Shivaji University), 2003–2007</w:t>
      </w:r>
    </w:p>
    <w:p>
      <w:pPr>
        <w:pStyle w:val="ListParagraph"/>
        <w:keepLines/>
        <w:numPr>
          <w:ilvl w:val="0"/>
          <w:numId w:val="2"/>
        </w:numPr>
        <w:spacing w:after="32" w:before="0" w:line="241" w:lineRule="exact"/>
      </w:pP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Google Cloud Certified — Professional Data Engineer</w:t>
      </w:r>
    </w:p>
    <w:p>
      <w:pPr>
        <w:pStyle w:val="ListParagraph"/>
        <w:keepLines/>
        <w:numPr>
          <w:ilvl w:val="0"/>
          <w:numId w:val="2"/>
        </w:numPr>
        <w:spacing w:after="32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Google Cloud Professional Cloud Architect — </w:t>
      </w:r>
      <w:r>
        <w:rPr>
          <w:rFonts w:ascii="Arial" w:cs="Arial" w:eastAsia="Arial" w:hAnsi="Arial"/>
          <w:i/>
          <w:iCs/>
          <w:color w:val="1A1D21"/>
          <w:sz w:val="18"/>
          <w:szCs w:val="18"/>
        </w:rPr>
        <w:t xml:space="preserve">in progress</w:t>
      </w:r>
    </w:p>
    <w:p>
      <w:pPr>
        <w:pStyle w:val="ListParagraph"/>
        <w:keepLines/>
        <w:numPr>
          <w:ilvl w:val="0"/>
          <w:numId w:val="2"/>
        </w:numPr>
        <w:spacing w:after="32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Data Engineering, Big Data and Machine Learning on GCP — Coursera specialisation</w:t>
      </w:r>
    </w:p>
    <w:p>
      <w:pPr>
        <w:pStyle w:val="ListParagraph"/>
        <w:keepLines/>
        <w:numPr>
          <w:ilvl w:val="0"/>
          <w:numId w:val="2"/>
        </w:numPr>
        <w:spacing w:after="32" w:before="0" w:line="241" w:lineRule="exact"/>
      </w:pPr>
      <w:r>
        <w:rPr>
          <w:rFonts w:ascii="Arial" w:cs="Arial" w:eastAsia="Arial" w:hAnsi="Arial"/>
          <w:color w:val="1A1D21"/>
          <w:sz w:val="18"/>
          <w:szCs w:val="18"/>
        </w:rPr>
        <w:t xml:space="preserve">Teradata Basics V2R5 · Teradata SQL V2R5 · Introduction to Oracle9i: SQL</w:t>
      </w:r>
    </w:p>
    <w:sectPr>
      <w:pgSz w:w="11906" w:h="16838" w:orient="portrait"/>
      <w:pgMar w:top="624" w:right="680" w:bottom="624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40" w:hanging="160"/>
      </w:pPr>
      <w:rPr>
        <w:color w:val="9AA4A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D21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Sachin Koli — Solution Architect</dc:title>
  <dc:creator>Sachin Koli</dc:creator>
  <cp:lastModifiedBy>Un-named</cp:lastModifiedBy>
  <cp:revision>1</cp:revision>
  <dcterms:created xsi:type="dcterms:W3CDTF">2026-08-30T19:01:11.714Z</dcterms:created>
  <dcterms:modified xsi:type="dcterms:W3CDTF">2026-08-30T19:01:11.714Z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