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68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38"/>
        <w:gridCol w:w="11013"/>
        <w:gridCol w:w="3387"/>
      </w:tblGrid>
      <w:tr>
        <w:tc>
          <w:tcPr>
            <w:tcW w:type="dxa" w:w="2438"/>
            <w:tcBorders>
              <w:top w:val="none" w:color="FFFFFF" w:sz="0"/>
              <w:left w:val="none" w:color="FFFFFF" w:sz="0"/>
              <w:bottom w:val="single" w:color="0A5245" w:sz="10" w:space="2"/>
              <w:right w:val="none" w:color="FFFFFF" w:sz="0"/>
            </w:tcBorders>
            <w:shd w:fill="EBEEE9" w:color="auto" w:val="clear"/>
            <w:tcMar>
              <w:top w:type="dxa" w:w="454"/>
              <w:left w:type="dxa" w:w="567"/>
              <w:bottom w:type="dxa" w:w="340"/>
              <w:right w:type="dxa" w:w="397"/>
            </w:tcMar>
          </w:tcPr>
          <w:p>
            <w:pPr>
              <w:spacing w:after="0" w:before="0"/>
            </w:pPr>
            <w:r>
              <w:drawing>
                <wp:inline distT="0" distB="0" distL="0" distR="0">
                  <wp:extent cx="933450" cy="1095375"/>
                  <wp:effectExtent t="22860" r="22860" b="22860" l="2286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1095375"/>
                          </a:xfrm>
                          <a:prstGeom prst="rect">
                            <a:avLst/>
                          </a:prstGeom>
                          <a:noFill/>
                          <a:ln w="11430">
                            <a:solidFill>
                              <a:srgbClr val="14181D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013"/>
            <w:tcBorders>
              <w:top w:val="none" w:color="FFFFFF" w:sz="0"/>
              <w:left w:val="none" w:color="FFFFFF" w:sz="0"/>
              <w:bottom w:val="single" w:color="0A5245" w:sz="10" w:space="2"/>
              <w:right w:val="none" w:color="FFFFFF" w:sz="0"/>
            </w:tcBorders>
            <w:shd w:fill="EBEEE9" w:color="auto" w:val="clear"/>
            <w:tcMar>
              <w:top w:type="dxa" w:w="454"/>
              <w:left w:type="dxa" w:w="0"/>
              <w:bottom w:type="dxa" w:w="340"/>
              <w:right w:type="dxa" w:w="397"/>
            </w:tcMar>
          </w:tcPr>
          <w:p>
            <w:pPr>
              <w:spacing w:after="0" w:before="0" w:line="513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pacing w:val="-16"/>
                <w:sz w:val="54"/>
                <w:szCs w:val="54"/>
              </w:rPr>
              <w:t xml:space="preserve">Sachin </w:t>
            </w:r>
            <w:r>
              <w:rPr>
                <w:rFonts w:ascii="Arial" w:cs="Arial" w:eastAsia="Arial" w:hAnsi="Arial"/>
                <w:b/>
                <w:bCs/>
                <w:color w:val="0A5245"/>
                <w:spacing w:val="-16"/>
                <w:sz w:val="54"/>
                <w:szCs w:val="54"/>
              </w:rPr>
              <w:t xml:space="preserve">Koli</w:t>
            </w:r>
          </w:p>
          <w:p>
            <w:pPr>
              <w:spacing w:after="0" w:before="85" w:line="312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22"/>
                <w:szCs w:val="22"/>
              </w:rPr>
              <w:t xml:space="preserve">Solution Architect — Cloud Data &amp; AI Platforms</w:t>
            </w:r>
          </w:p>
          <w:p>
            <w:pPr>
              <w:spacing w:after="0" w:before="68" w:line="210" w:lineRule="exact"/>
            </w:pP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Google Cloud Certified — Professional Data Engineer</w:t>
            </w: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· Cloud Architect in progress</w:t>
            </w:r>
          </w:p>
        </w:tc>
        <w:tc>
          <w:tcPr>
            <w:tcW w:type="dxa" w:w="3387"/>
            <w:tcBorders>
              <w:top w:val="none" w:color="FFFFFF" w:sz="0"/>
              <w:left w:val="none" w:color="FFFFFF" w:sz="0"/>
              <w:bottom w:val="single" w:color="0A5245" w:sz="10" w:space="2"/>
              <w:right w:val="none" w:color="FFFFFF" w:sz="0"/>
            </w:tcBorders>
            <w:shd w:fill="EBEEE9" w:color="auto" w:val="clear"/>
            <w:tcMar>
              <w:top w:type="dxa" w:w="454"/>
              <w:left w:type="dxa" w:w="0"/>
              <w:bottom w:type="dxa" w:w="340"/>
              <w:right w:type="dxa" w:w="567"/>
            </w:tcMar>
          </w:tcPr>
          <w:p>
            <w:pPr>
              <w:spacing w:after="0" w:before="0" w:line="252" w:lineRule="exact"/>
              <w:jc w:val="right"/>
            </w:pP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Pune, India</w:t>
            </w:r>
            <w:r>
              <w:br/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 +91 95522 36200</w:t>
            </w:r>
            <w:r>
              <w:br/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 kolisachint@gmail.com</w:t>
            </w:r>
            <w:r>
              <w:br/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 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linkedin.com/in/</w:t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kolisachint</w:t>
            </w:r>
            <w:r>
              <w:br/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 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github.com/</w:t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kolisachint </w:t>
            </w:r>
          </w:p>
        </w:tc>
      </w:tr>
    </w:tbl>
    <w:p>
      <w:pPr>
        <w:spacing w:after="0" w:before="0" w:line="1" w:lineRule="exact"/>
      </w:pPr>
      <w:r>
        <w:rPr>
          <w:sz w:val="2"/>
          <w:szCs w:val="2"/>
        </w:rPr>
        <w:t xml:space="preserve"/>
      </w:r>
    </w:p>
    <w:tbl>
      <w:tblPr>
        <w:tblW w:type="dxa" w:w="16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10"/>
        <w:gridCol w:w="4210"/>
        <w:gridCol w:w="4210"/>
        <w:gridCol w:w="4210"/>
      </w:tblGrid>
      <w:tr>
        <w:tc>
          <w:tcPr>
            <w:tcW w:type="dxa" w:w="4210"/>
            <w:tcBorders>
              <w:top w:val="none" w:color="FFFFFF" w:sz="0"/>
              <w:left w:val="none" w:color="FFFFFF" w:sz="0"/>
              <w:bottom w:val="single" w:color="D2D7D1" w:sz="7" w:space="2"/>
              <w:right w:val="single" w:color="D2D7D1" w:sz="7" w:space="2"/>
            </w:tcBorders>
            <w:tcMar>
              <w:top w:type="dxa" w:w="249"/>
              <w:left w:type="dxa" w:w="567"/>
              <w:bottom w:type="dxa" w:w="238"/>
              <w:right w:type="dxa" w:w="567"/>
            </w:tcMar>
          </w:tcPr>
          <w:p>
            <w:pPr>
              <w:spacing w:after="0" w:before="0" w:line="34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34"/>
                <w:szCs w:val="34"/>
              </w:rPr>
              <w:t xml:space="preserve">18 yrs</w:t>
            </w:r>
          </w:p>
          <w:p>
            <w:pPr>
              <w:spacing w:after="0" w:before="79" w:line="239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Enterprise data &amp; cloud</w:t>
            </w:r>
          </w:p>
          <w:p>
            <w:pPr>
              <w:spacing w:after="0" w:before="34" w:line="219" w:lineRule="exact"/>
            </w:pPr>
            <w:r>
              <w:rPr>
                <w:rFonts w:ascii="Arial" w:cs="Arial" w:eastAsia="Arial" w:hAnsi="Arial"/>
                <w:color w:val="6C7571"/>
                <w:sz w:val="15"/>
                <w:szCs w:val="15"/>
              </w:rPr>
              <w:t xml:space="preserve">Banking · Retail · Telecom</w:t>
            </w:r>
          </w:p>
        </w:tc>
        <w:tc>
          <w:tcPr>
            <w:tcW w:type="dxa" w:w="4210"/>
            <w:tcBorders>
              <w:top w:val="none" w:color="FFFFFF" w:sz="0"/>
              <w:left w:val="none" w:color="FFFFFF" w:sz="0"/>
              <w:bottom w:val="single" w:color="D2D7D1" w:sz="7" w:space="2"/>
              <w:right w:val="single" w:color="D2D7D1" w:sz="7" w:space="2"/>
            </w:tcBorders>
            <w:tcMar>
              <w:top w:type="dxa" w:w="249"/>
              <w:left w:type="dxa" w:w="567"/>
              <w:bottom w:type="dxa" w:w="238"/>
              <w:right w:type="dxa" w:w="567"/>
            </w:tcMar>
          </w:tcPr>
          <w:p>
            <w:pPr>
              <w:spacing w:after="0" w:before="0" w:line="34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34"/>
                <w:szCs w:val="34"/>
              </w:rPr>
              <w:t xml:space="preserve">$600K</w:t>
            </w:r>
          </w:p>
          <w:p>
            <w:pPr>
              <w:spacing w:after="0" w:before="79" w:line="239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Annual cost removed</w:t>
            </w:r>
          </w:p>
          <w:p>
            <w:pPr>
              <w:spacing w:after="0" w:before="34" w:line="219" w:lineRule="exact"/>
            </w:pPr>
            <w:r>
              <w:rPr>
                <w:rFonts w:ascii="Arial" w:cs="Arial" w:eastAsia="Arial" w:hAnsi="Arial"/>
                <w:color w:val="6C7571"/>
                <w:sz w:val="15"/>
                <w:szCs w:val="15"/>
              </w:rPr>
              <w:t xml:space="preserve">Preference Center API on GCP, Sears</w:t>
            </w:r>
          </w:p>
        </w:tc>
        <w:tc>
          <w:tcPr>
            <w:tcW w:type="dxa" w:w="4210"/>
            <w:tcBorders>
              <w:top w:val="none" w:color="FFFFFF" w:sz="0"/>
              <w:left w:val="none" w:color="FFFFFF" w:sz="0"/>
              <w:bottom w:val="single" w:color="D2D7D1" w:sz="7" w:space="2"/>
              <w:right w:val="single" w:color="D2D7D1" w:sz="7" w:space="2"/>
            </w:tcBorders>
            <w:tcMar>
              <w:top w:type="dxa" w:w="249"/>
              <w:left w:type="dxa" w:w="567"/>
              <w:bottom w:type="dxa" w:w="238"/>
              <w:right w:type="dxa" w:w="567"/>
            </w:tcMar>
          </w:tcPr>
          <w:p>
            <w:pPr>
              <w:spacing w:after="0" w:before="0" w:line="34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34"/>
                <w:szCs w:val="34"/>
              </w:rPr>
              <w:t xml:space="preserve">2024</w:t>
            </w:r>
          </w:p>
          <w:p>
            <w:pPr>
              <w:spacing w:after="0" w:before="79" w:line="239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Banking Tech Awards</w:t>
            </w:r>
          </w:p>
          <w:p>
            <w:pPr>
              <w:spacing w:after="0" w:before="34" w:line="219" w:lineRule="exact"/>
            </w:pPr>
            <w:r>
              <w:rPr>
                <w:rFonts w:ascii="Arial" w:cs="Arial" w:eastAsia="Arial" w:hAnsi="Arial"/>
                <w:color w:val="6C7571"/>
                <w:sz w:val="15"/>
                <w:szCs w:val="15"/>
              </w:rPr>
              <w:t xml:space="preserve">Self-serve fraud journey — architect</w:t>
            </w:r>
          </w:p>
        </w:tc>
        <w:tc>
          <w:tcPr>
            <w:tcW w:type="dxa" w:w="4210"/>
            <w:tcBorders>
              <w:top w:val="none" w:color="FFFFFF" w:sz="0"/>
              <w:left w:val="none" w:color="FFFFFF" w:sz="0"/>
              <w:bottom w:val="single" w:color="D2D7D1" w:sz="7" w:space="2"/>
              <w:right w:val="none" w:color="FFFFFF" w:sz="0"/>
            </w:tcBorders>
            <w:tcMar>
              <w:top w:type="dxa" w:w="249"/>
              <w:left w:type="dxa" w:w="567"/>
              <w:bottom w:type="dxa" w:w="238"/>
              <w:right w:type="dxa" w:w="567"/>
            </w:tcMar>
          </w:tcPr>
          <w:p>
            <w:pPr>
              <w:spacing w:after="0" w:before="0" w:line="34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34"/>
                <w:szCs w:val="34"/>
              </w:rPr>
              <w:t xml:space="preserve">2025</w:t>
            </w:r>
          </w:p>
          <w:p>
            <w:pPr>
              <w:spacing w:after="0" w:before="79" w:line="239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Card &amp; Payments Awards</w:t>
            </w:r>
          </w:p>
          <w:p>
            <w:pPr>
              <w:spacing w:after="0" w:before="34" w:line="219" w:lineRule="exact"/>
            </w:pPr>
            <w:r>
              <w:rPr>
                <w:rFonts w:ascii="Arial" w:cs="Arial" w:eastAsia="Arial" w:hAnsi="Arial"/>
                <w:color w:val="6C7571"/>
                <w:sz w:val="15"/>
                <w:szCs w:val="15"/>
              </w:rPr>
              <w:t xml:space="preserve">Self-serve fraud journey — architect</w:t>
            </w:r>
          </w:p>
        </w:tc>
      </w:tr>
    </w:tbl>
    <w:p>
      <w:pPr>
        <w:spacing w:after="0" w:before="0" w:line="1" w:lineRule="exact"/>
      </w:pPr>
      <w:r>
        <w:rPr>
          <w:sz w:val="2"/>
          <w:szCs w:val="2"/>
        </w:rPr>
        <w:t xml:space="preserve"/>
      </w:r>
    </w:p>
    <w:tbl>
      <w:tblPr>
        <w:tblW w:type="dxa" w:w="168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887"/>
        <w:gridCol w:w="5887"/>
        <w:gridCol w:w="5063"/>
      </w:tblGrid>
      <w:tr>
        <w:tc>
          <w:tcPr>
            <w:tcW w:type="dxa" w:w="5887"/>
            <w:tcBorders>
              <w:top w:val="none" w:color="FFFFFF" w:sz="0"/>
              <w:left w:val="none" w:color="FFFFFF" w:sz="0"/>
              <w:bottom w:val="none" w:color="FFFFFF" w:sz="0"/>
              <w:right w:val="single" w:color="D2D7D1" w:sz="7" w:space="2"/>
            </w:tcBorders>
            <w:tcMar>
              <w:top w:type="dxa" w:w="369"/>
              <w:left w:type="dxa" w:w="369"/>
              <w:bottom w:type="dxa" w:w="369"/>
              <w:right w:type="dxa" w:w="369"/>
            </w:tcMar>
          </w:tcPr>
          <w:p>
            <w:pPr>
              <w:pBdr>
                <w:bottom w:val="single" w:color="0A5245" w:sz="7" w:space="4"/>
              </w:pBdr>
              <w:spacing w:after="170" w:before="0" w:line="19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pacing w:val="24"/>
                <w:sz w:val="13"/>
                <w:szCs w:val="13"/>
              </w:rPr>
              <w:t xml:space="preserve">WHAT I BUILD</w:t>
            </w:r>
          </w:p>
          <w:p>
            <w:pPr>
              <w:spacing w:after="79" w:before="0" w:line="238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20"/>
                <w:szCs w:val="20"/>
              </w:rPr>
              <w:t xml:space="preserve">Cloud Data Platform</w:t>
            </w:r>
            <w:r>
              <w:rPr>
                <w:rFonts w:ascii="Consolas" w:cs="Consolas" w:eastAsia="Consolas" w:hAnsi="Consolas"/>
                <w:i/>
                <w:iCs/>
                <w:color w:val="6C7571"/>
                <w:spacing w:val="6"/>
                <w:sz w:val="13"/>
                <w:szCs w:val="13"/>
              </w:rPr>
              <w:t xml:space="preserve">2025 —</w:t>
            </w:r>
          </w:p>
          <w:p>
            <w:pPr>
              <w:spacing w:after="0" w:before="0" w:line="248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Architect of the batch and real-time streaming platform for a </w:t>
            </w: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UK tier-1 retail bank</w:t>
            </w: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. Event-driven ingestion, hybrid orchestration bridging a legacy enterprise scheduler with cloud workflows, modelled warehouse, provisioned as code.</w:t>
            </w:r>
          </w:p>
          <w:p>
            <w:pPr>
              <w:spacing w:after="306" w:before="102" w:line="229" w:lineRule="exact"/>
            </w:pP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Confluent Kafka · Cloud Composer · Airflow · dbt · BigQuery · Terraform · CI/CD</w:t>
            </w:r>
          </w:p>
          <w:p>
            <w:pPr>
              <w:spacing w:after="79" w:before="0" w:line="238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20"/>
                <w:szCs w:val="20"/>
              </w:rPr>
              <w:t xml:space="preserve">Applied AI</w:t>
            </w:r>
            <w:r>
              <w:rPr>
                <w:rFonts w:ascii="Consolas" w:cs="Consolas" w:eastAsia="Consolas" w:hAnsi="Consolas"/>
                <w:i/>
                <w:iCs/>
                <w:color w:val="6C7571"/>
                <w:spacing w:val="6"/>
                <w:sz w:val="13"/>
                <w:szCs w:val="13"/>
              </w:rPr>
              <w:t xml:space="preserve">open source</w:t>
            </w:r>
          </w:p>
          <w:p>
            <w:pPr>
              <w:spacing w:after="0" w:before="0" w:line="248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A published agent ecosystem: a </w:t>
            </w: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terminal coding agent on npm</w:t>
            </w: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, and the Rust beneath it — embedding search with an ANN index written from scratch, offline speech recognition, token-efficient web retrieval.</w:t>
            </w:r>
          </w:p>
          <w:p>
            <w:pPr>
              <w:spacing w:after="306" w:before="102" w:line="229" w:lineRule="exact"/>
            </w:pP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Rust · TypeScript · ONNX Runtime · HNSW · BM25 hybrid retrieval · MCP · 25+ LLM providers</w:t>
            </w:r>
          </w:p>
          <w:p>
            <w:pPr>
              <w:spacing w:after="79" w:before="0" w:line="238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20"/>
                <w:szCs w:val="20"/>
              </w:rPr>
              <w:t xml:space="preserve">Payments &amp; Cards</w:t>
            </w:r>
            <w:r>
              <w:rPr>
                <w:rFonts w:ascii="Consolas" w:cs="Consolas" w:eastAsia="Consolas" w:hAnsi="Consolas"/>
                <w:i/>
                <w:iCs/>
                <w:color w:val="6C7571"/>
                <w:spacing w:val="6"/>
                <w:sz w:val="13"/>
                <w:szCs w:val="13"/>
              </w:rPr>
              <w:t xml:space="preserve">2022 — 2025</w:t>
            </w:r>
          </w:p>
          <w:p>
            <w:pPr>
              <w:spacing w:after="0" w:before="0" w:line="248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Led modernisation of </w:t>
            </w: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Digital Cards</w:t>
            </w: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 — Add to Wallet, card controls, View PIN — from on-premise to GCP, with the secure microservice and cross-cloud API patterns a regulated estate needs.</w:t>
            </w:r>
          </w:p>
          <w:p>
            <w:pPr>
              <w:spacing w:after="306" w:before="102" w:line="229" w:lineRule="exact"/>
            </w:pP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GCP · microservices · API gateways · containerisation · compliance</w:t>
            </w:r>
          </w:p>
        </w:tc>
        <w:tc>
          <w:tcPr>
            <w:tcW w:type="dxa" w:w="5887"/>
            <w:tcBorders>
              <w:top w:val="none" w:color="FFFFFF" w:sz="0"/>
              <w:left w:val="none" w:color="FFFFFF" w:sz="0"/>
              <w:bottom w:val="none" w:color="FFFFFF" w:sz="0"/>
              <w:right w:val="single" w:color="D2D7D1" w:sz="7" w:space="2"/>
            </w:tcBorders>
            <w:tcMar>
              <w:top w:type="dxa" w:w="369"/>
              <w:left w:type="dxa" w:w="369"/>
              <w:bottom w:type="dxa" w:w="369"/>
              <w:right w:type="dxa" w:w="369"/>
            </w:tcMar>
          </w:tcPr>
          <w:p>
            <w:pPr>
              <w:pBdr>
                <w:bottom w:val="single" w:color="0A5245" w:sz="7" w:space="4"/>
              </w:pBdr>
              <w:spacing w:after="170" w:before="0" w:line="19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pacing w:val="24"/>
                <w:sz w:val="13"/>
                <w:szCs w:val="13"/>
              </w:rPr>
              <w:t xml:space="preserve">SHIPPED, IN PUBLIC · GITHUB.COM/KOLISACHINT</w:t>
            </w:r>
          </w:p>
          <w:p>
            <w:pPr>
              <w:tabs>
                <w:tab w:val="right" w:pos="5149"/>
              </w:tabs>
              <w:spacing w:after="0" w:before="23" w:line="253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17"/>
                <w:szCs w:val="17"/>
              </w:rPr>
              <w:t xml:space="preserve">hoocode</w:t>
            </w:r>
            <w:r>
              <w:t xml:space="preserve">	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TypeScript · npm</w:t>
            </w:r>
          </w:p>
          <w:p>
            <w:pPr>
              <w:spacing w:after="0" w:before="57" w:line="232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Deterministic terminal coding agent. Permission gate on every edit and command; four scoped modes; MCP servers and subagents. Four packages, including a unified LLM API across 25+ providers.</w:t>
            </w:r>
          </w:p>
          <w:p>
            <w:pPr>
              <w:tabs>
                <w:tab w:val="right" w:pos="5149"/>
              </w:tabs>
              <w:spacing w:after="0" w:before="193" w:line="253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17"/>
                <w:szCs w:val="17"/>
              </w:rPr>
              <w:t xml:space="preserve">embeddingsearchtools</w:t>
            </w:r>
            <w:r>
              <w:t xml:space="preserve">	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Rust</w:t>
            </w:r>
          </w:p>
          <w:p>
            <w:pPr>
              <w:spacing w:after="0" w:before="57" w:line="232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Embedding search engine. MiniLM via ONNX Runtime, int8 weights bundled into the binary; exact and </w:t>
            </w: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HNSW approximate</w:t>
            </w: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 indexes; BM25 lexical fusion for hybrid retrieval; mmap store, CLI and daemon.</w:t>
            </w:r>
          </w:p>
          <w:p>
            <w:pPr>
              <w:tabs>
                <w:tab w:val="right" w:pos="5149"/>
              </w:tabs>
              <w:spacing w:after="0" w:before="193" w:line="253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17"/>
                <w:szCs w:val="17"/>
              </w:rPr>
              <w:t xml:space="preserve">voicetools</w:t>
            </w:r>
            <w:r>
              <w:t xml:space="preserve">	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Rust</w:t>
            </w:r>
          </w:p>
          <w:p>
            <w:pPr>
              <w:spacing w:after="0" w:before="57" w:line="232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Offline speech-to-text. Microphone capture through voice-activity detection into Parakeet-TDT on ONNX Runtime, 25 languages, Whisper fallback.</w:t>
            </w:r>
          </w:p>
          <w:p>
            <w:pPr>
              <w:tabs>
                <w:tab w:val="right" w:pos="5149"/>
              </w:tabs>
              <w:spacing w:after="0" w:before="193" w:line="253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17"/>
                <w:szCs w:val="17"/>
              </w:rPr>
              <w:t xml:space="preserve">webtools</w:t>
            </w:r>
            <w:r>
              <w:t xml:space="preserve">	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Rust</w:t>
            </w:r>
          </w:p>
          <w:p>
            <w:pPr>
              <w:spacing w:after="193" w:before="57" w:line="232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Token-efficient fetch and search for LLM agents. Reference-style URL preservation turns links into single-token markers under a token budget.</w:t>
            </w:r>
          </w:p>
        </w:tc>
        <w:tc>
          <w:tcPr>
            <w:tcW w:type="dxa" w:w="50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9"/>
              <w:left w:type="dxa" w:w="369"/>
              <w:bottom w:type="dxa" w:w="369"/>
              <w:right w:type="dxa" w:w="369"/>
            </w:tcMar>
          </w:tcPr>
          <w:p>
            <w:pPr>
              <w:pBdr>
                <w:bottom w:val="single" w:color="0A5245" w:sz="7" w:space="4"/>
              </w:pBdr>
              <w:spacing w:after="170" w:before="0" w:line="19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pacing w:val="24"/>
                <w:sz w:val="13"/>
                <w:szCs w:val="13"/>
              </w:rPr>
              <w:t xml:space="preserve">CLIENTS</w:t>
            </w:r>
          </w:p>
          <w:tbl>
            <w:tblPr>
              <w:tblW w:type="dxa" w:w="43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350"/>
              <w:gridCol w:w="2975"/>
            </w:tblGrid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Banking UK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Lloyds Banking Group</w:t>
                  </w:r>
                </w:p>
              </w:tc>
            </w:tr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Retail US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Sears Holdings</w:t>
                  </w:r>
                </w:p>
              </w:tc>
            </w:tr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Telecom SAU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Saudi Telecom</w:t>
                  </w:r>
                </w:p>
              </w:tc>
            </w:tr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Banking UK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Barclays</w:t>
                  </w:r>
                </w:p>
              </w:tc>
            </w:tr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Telecom AU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Telstra</w:t>
                  </w:r>
                </w:p>
              </w:tc>
            </w:tr>
          </w:tbl>
          <w:p>
            <w:pPr>
              <w:pBdr>
                <w:bottom w:val="single" w:color="0A5245" w:sz="7" w:space="4"/>
              </w:pBdr>
              <w:spacing w:after="170" w:before="255" w:line="19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pacing w:val="24"/>
                <w:sz w:val="13"/>
                <w:szCs w:val="13"/>
              </w:rPr>
              <w:t xml:space="preserve">TRACK</w:t>
            </w:r>
          </w:p>
          <w:tbl>
            <w:tblPr>
              <w:tblW w:type="dxa" w:w="43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70"/>
              <w:gridCol w:w="3355"/>
            </w:tblGrid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2021—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Tata Consultancy Services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Solution Architect</w:t>
                  </w:r>
                </w:p>
              </w:tc>
            </w:tr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2018—21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Sears India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Architect</w:t>
                  </w:r>
                </w:p>
              </w:tc>
            </w:tr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2010—18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Cognizant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Sr. Associate — Projects</w:t>
                  </w:r>
                </w:p>
              </w:tc>
            </w:tr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2008—10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Mahindra Satyam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Software Developer</w:t>
                  </w:r>
                </w:p>
              </w:tc>
            </w:tr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2003—07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BE Computer Science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Walchand COE, Sangli</w:t>
                  </w:r>
                </w:p>
              </w:tc>
            </w:tr>
          </w:tbl>
          <w:p/>
        </w:tc>
      </w:tr>
    </w:tbl>
    <w:p>
      <w:pPr>
        <w:pBdr>
          <w:top w:val="single" w:color="D2D7D1" w:sz="7" w:space="7"/>
        </w:pBdr>
        <w:tabs>
          <w:tab w:val="right" w:pos="16838"/>
        </w:tabs>
        <w:spacing w:after="170" w:before="0" w:line="173" w:lineRule="exact"/>
        <w:ind w:left="567" w:right="567"/>
      </w:pPr>
      <w:r>
        <w:rPr>
          <w:rFonts w:ascii="Consolas" w:cs="Consolas" w:eastAsia="Consolas" w:hAnsi="Consolas"/>
          <w:color w:val="6C7571"/>
          <w:sz w:val="12"/>
          <w:szCs w:val="12"/>
        </w:rPr>
        <w:t xml:space="preserve">Sachin Koli — Solution Architect, Cloud Data &amp; AI Platforms</w:t>
      </w:r>
      <w:r>
        <w:t xml:space="preserve">	</w:t>
      </w:r>
      <w:r>
        <w:rPr>
          <w:rFonts w:ascii="Consolas" w:cs="Consolas" w:eastAsia="Consolas" w:hAnsi="Consolas"/>
          <w:color w:val="6C7571"/>
          <w:sz w:val="12"/>
          <w:szCs w:val="12"/>
        </w:rPr>
        <w:t xml:space="preserve">github.com/kolisachint</w:t>
      </w:r>
    </w:p>
    <w:sectPr>
      <w:pgSz w:w="16838" w:h="11906" w:orient="landscape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4181D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7f57ca1ca1693b4d44d27a7409bab020e50bc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Profile</dc:title>
  <dc:creator>Sachin Koli</dc:creator>
  <cp:lastModifiedBy>Un-named</cp:lastModifiedBy>
  <cp:revision>1</cp:revision>
  <dcterms:created xsi:type="dcterms:W3CDTF">2026-08-31T04:21:29.297Z</dcterms:created>
  <dcterms:modified xsi:type="dcterms:W3CDTF">2026-08-31T04:21:29.297Z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