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68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38"/>
        <w:gridCol w:w="11013"/>
        <w:gridCol w:w="3387"/>
      </w:tblGrid>
      <w:tr>
        <w:tc>
          <w:tcPr>
            <w:tcW w:type="dxa" w:w="2438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567"/>
              <w:bottom w:type="dxa" w:w="340"/>
              <w:right w:type="dxa" w:w="397"/>
            </w:tcMar>
          </w:tcPr>
          <w:p>
            <w:pPr>
              <w:spacing w:after="0" w:before="0"/>
            </w:pPr>
            <w:r>
              <w:drawing>
                <wp:inline distT="0" distB="0" distL="0" distR="0">
                  <wp:extent cx="933450" cy="1095375"/>
                  <wp:effectExtent t="22860" r="22860" b="22860" l="2286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095375"/>
                          </a:xfrm>
                          <a:prstGeom prst="rect">
                            <a:avLst/>
                          </a:prstGeom>
                          <a:noFill/>
                          <a:ln w="11430">
                            <a:solidFill>
                              <a:srgbClr val="14181D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013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397"/>
            </w:tcMar>
          </w:tcPr>
          <w:p>
            <w:pPr>
              <w:spacing w:after="0" w:before="0" w:line="513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pacing w:val="-16"/>
                <w:sz w:val="54"/>
                <w:szCs w:val="54"/>
              </w:rPr>
              <w:t xml:space="preserve">Sachin </w:t>
            </w:r>
            <w:r>
              <w:rPr>
                <w:rFonts w:ascii="Arial" w:cs="Arial" w:eastAsia="Arial" w:hAnsi="Arial"/>
                <w:b/>
                <w:bCs/>
                <w:color w:val="0A5245"/>
                <w:spacing w:val="-16"/>
                <w:sz w:val="54"/>
                <w:szCs w:val="54"/>
              </w:rPr>
              <w:t xml:space="preserve">Koli</w:t>
            </w:r>
          </w:p>
          <w:p>
            <w:pPr>
              <w:spacing w:after="0" w:before="85" w:line="312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2"/>
                <w:szCs w:val="22"/>
              </w:rPr>
              <w:t xml:space="preserve">Solution Architect — Cloud Data &amp; AI Platforms</w:t>
            </w:r>
          </w:p>
          <w:p>
            <w:pPr>
              <w:spacing w:after="0" w:before="68" w:line="210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Google Cloud Certified — Professional Data Engineer</w:t>
            </w: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· Cloud Architect in progress</w:t>
            </w:r>
          </w:p>
        </w:tc>
        <w:tc>
          <w:tcPr>
            <w:tcW w:type="dxa" w:w="3387"/>
            <w:tcBorders>
              <w:top w:val="none" w:color="FFFFFF" w:sz="0"/>
              <w:left w:val="none" w:color="FFFFFF" w:sz="0"/>
              <w:bottom w:val="single" w:color="0A5245" w:sz="10" w:space="2"/>
              <w:right w:val="none" w:color="FFFFFF" w:sz="0"/>
            </w:tcBorders>
            <w:shd w:fill="EBEEE9" w:color="auto" w:val="clear"/>
            <w:tcMar>
              <w:top w:type="dxa" w:w="454"/>
              <w:left w:type="dxa" w:w="0"/>
              <w:bottom w:type="dxa" w:w="340"/>
              <w:right w:type="dxa" w:w="567"/>
            </w:tcMar>
          </w:tcPr>
          <w:p>
            <w:pPr>
              <w:spacing w:after="0" w:before="0" w:line="252" w:lineRule="exact"/>
              <w:jc w:val="right"/>
            </w:pP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Pune, India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+91 95522 36200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kolisachint@gmail.com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linkedin.com/in/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</w:t>
            </w:r>
            <w:r>
              <w:br/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 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github.com/</w:t>
            </w:r>
            <w:r>
              <w:rPr>
                <w:rFonts w:ascii="Consolas" w:cs="Consolas" w:eastAsia="Consolas" w:hAnsi="Consolas"/>
                <w:color w:val="14181D"/>
                <w:sz w:val="14"/>
                <w:szCs w:val="14"/>
              </w:rPr>
              <w:t xml:space="preserve">kolisachint 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10"/>
        <w:gridCol w:w="4210"/>
        <w:gridCol w:w="4210"/>
        <w:gridCol w:w="4210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18 yrs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Enterprise data &amp; cloud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Banking · Retail · Telecom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$600K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Annual cost removed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Preference Center API on GCP, Sears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single" w:color="D2D7D1" w:sz="7" w:space="2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2024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Banking Tech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  <w:tc>
          <w:tcPr>
            <w:tcW w:type="dxa" w:w="4210"/>
            <w:tcBorders>
              <w:top w:val="none" w:color="FFFFFF" w:sz="0"/>
              <w:left w:val="none" w:color="FFFFFF" w:sz="0"/>
              <w:bottom w:val="single" w:color="D2D7D1" w:sz="7" w:space="2"/>
              <w:right w:val="none" w:color="FFFFFF" w:sz="0"/>
            </w:tcBorders>
            <w:tcMar>
              <w:top w:type="dxa" w:w="249"/>
              <w:left w:type="dxa" w:w="567"/>
              <w:bottom w:type="dxa" w:w="238"/>
              <w:right w:type="dxa" w:w="567"/>
            </w:tcMar>
          </w:tcPr>
          <w:p>
            <w:pPr>
              <w:spacing w:after="0" w:before="0" w:line="34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34"/>
                <w:szCs w:val="34"/>
              </w:rPr>
              <w:t xml:space="preserve">2025</w:t>
            </w:r>
          </w:p>
          <w:p>
            <w:pPr>
              <w:spacing w:after="0" w:before="79" w:line="239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Card &amp; Payments Awards</w:t>
            </w:r>
          </w:p>
          <w:p>
            <w:pPr>
              <w:spacing w:after="0" w:before="34" w:line="219" w:lineRule="exact"/>
            </w:pPr>
            <w:r>
              <w:rPr>
                <w:rFonts w:ascii="Arial" w:cs="Arial" w:eastAsia="Arial" w:hAnsi="Arial"/>
                <w:color w:val="6C7571"/>
                <w:sz w:val="15"/>
                <w:szCs w:val="15"/>
              </w:rPr>
              <w:t xml:space="preserve">Self-serve fraud journey — architect</w:t>
            </w:r>
          </w:p>
        </w:tc>
      </w:tr>
    </w:tbl>
    <w:p>
      <w:pPr>
        <w:spacing w:after="0" w:before="0" w:line="1" w:lineRule="exact"/>
      </w:pPr>
      <w:r>
        <w:rPr>
          <w:sz w:val="2"/>
          <w:szCs w:val="2"/>
        </w:rPr>
        <w:t xml:space="preserve"/>
      </w:r>
    </w:p>
    <w:tbl>
      <w:tblPr>
        <w:tblW w:type="dxa" w:w="168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87"/>
        <w:gridCol w:w="5887"/>
        <w:gridCol w:w="5063"/>
      </w:tblGrid>
      <w:tr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WHAT I BUILD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Cloud Data Platform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2025 —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Architect of the batch and real-time streaming platform for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UK tier-1 retail bank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. Event-driven ingestion, hybrid orchestration bridging a legacy enterprise scheduler with cloud workflows, modelled warehouse, provisioned as code.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Confluent Kafka · Cloud Composer · Airflow · dbt · BigQuery · Terraform · CI/CD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Applied AI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open source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A published agent ecosystem: a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terminal coding agent on npm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, and the Rust beneath it — embedding search with an ANN index written from scratch, offline speech recognition, token-efficient web retrieval.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Rust · TypeScript · ONNX Runtime · HNSW · BM25 hybrid retrieval · MCP · 25+ LLM providers</w:t>
            </w:r>
          </w:p>
          <w:p>
            <w:pPr>
              <w:spacing w:after="79" w:before="0" w:line="238" w:lineRule="exact"/>
            </w:pPr>
            <w:r>
              <w:rPr>
                <w:rFonts w:ascii="Arial" w:cs="Arial" w:eastAsia="Arial" w:hAnsi="Arial"/>
                <w:b/>
                <w:bCs/>
                <w:color w:val="14181D"/>
                <w:sz w:val="20"/>
                <w:szCs w:val="20"/>
              </w:rPr>
              <w:t xml:space="preserve">Payments &amp; Cards</w:t>
            </w:r>
            <w:r>
              <w:rPr>
                <w:rFonts w:ascii="Consolas" w:cs="Consolas" w:eastAsia="Consolas" w:hAnsi="Consolas"/>
                <w:i/>
                <w:iCs/>
                <w:color w:val="6C7571"/>
                <w:spacing w:val="6"/>
                <w:sz w:val="13"/>
                <w:szCs w:val="13"/>
              </w:rPr>
              <w:t xml:space="preserve">2022 — 2025</w:t>
            </w:r>
          </w:p>
          <w:p>
            <w:pPr>
              <w:spacing w:after="0" w:before="0" w:line="248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Led modernisation of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Digital Cards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— Add to Wallet, card controls, View PIN — from on-premise to GCP, with the secure microservice and cross-cloud API patterns a regulated estate needs.</w:t>
            </w:r>
          </w:p>
          <w:p>
            <w:pPr>
              <w:spacing w:after="306" w:before="102" w:line="229" w:lineRule="exact"/>
            </w:pPr>
            <w:r>
              <w:rPr>
                <w:rFonts w:ascii="Consolas" w:cs="Consolas" w:eastAsia="Consolas" w:hAnsi="Consolas"/>
                <w:color w:val="0A5245"/>
                <w:sz w:val="15"/>
                <w:szCs w:val="15"/>
              </w:rPr>
              <w:t xml:space="preserve">GCP · microservices · API gateways · containerisation · compliance</w:t>
            </w:r>
          </w:p>
        </w:tc>
        <w:tc>
          <w:tcPr>
            <w:tcW w:type="dxa" w:w="5887"/>
            <w:tcBorders>
              <w:top w:val="none" w:color="FFFFFF" w:sz="0"/>
              <w:left w:val="none" w:color="FFFFFF" w:sz="0"/>
              <w:bottom w:val="none" w:color="FFFFFF" w:sz="0"/>
              <w:right w:val="single" w:color="D2D7D1" w:sz="7" w:space="2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SHIPPED, IN PUBLIC · GITHUB.COM/KOLISACHINT</w:t>
            </w:r>
          </w:p>
          <w:p>
            <w:pPr>
              <w:tabs>
                <w:tab w:val="right" w:pos="5149"/>
              </w:tabs>
              <w:spacing w:after="0" w:before="2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hoocode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TypeScript · npm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Deterministic terminal coding agent. Permission gate on every edit and command; four scoped modes; MCP servers and subagents. Four packages, including a unified LLM API across 25+ providers.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embeddingsearchtools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Embedding search engine. MiniLM via ONNX Runtime, int8 weights bundled into the binary; exact and </w:t>
            </w:r>
            <w:r>
              <w:rPr>
                <w:rFonts w:ascii="Arial" w:cs="Arial" w:eastAsia="Arial" w:hAnsi="Arial"/>
                <w:b/>
                <w:bCs/>
                <w:color w:val="14181D"/>
                <w:sz w:val="17"/>
                <w:szCs w:val="17"/>
              </w:rPr>
              <w:t xml:space="preserve">HNSW approximate</w:t>
            </w: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 indexes; BM25 lexical fusion for hybrid retrieval; mmap store, CLI and daemon.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voicetools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0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Offline speech-to-text. Microphone capture through voice-activity detection into Parakeet-TDT on ONNX Runtime, 25 languages, Whisper fallback.</w:t>
            </w:r>
          </w:p>
          <w:p>
            <w:pPr>
              <w:tabs>
                <w:tab w:val="right" w:pos="5149"/>
              </w:tabs>
              <w:spacing w:after="0" w:before="193" w:line="253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z w:val="17"/>
                <w:szCs w:val="17"/>
              </w:rPr>
              <w:t xml:space="preserve">webtools</w:t>
            </w:r>
            <w:r>
              <w:t xml:space="preserve">	</w:t>
            </w:r>
            <w:r>
              <w:rPr>
                <w:rFonts w:ascii="Consolas" w:cs="Consolas" w:eastAsia="Consolas" w:hAnsi="Consolas"/>
                <w:color w:val="6C7571"/>
                <w:sz w:val="14"/>
                <w:szCs w:val="14"/>
              </w:rPr>
              <w:t xml:space="preserve">Rust</w:t>
            </w:r>
          </w:p>
          <w:p>
            <w:pPr>
              <w:spacing w:after="193" w:before="57" w:line="232" w:lineRule="exact"/>
            </w:pPr>
            <w:r>
              <w:rPr>
                <w:rFonts w:ascii="Arial" w:cs="Arial" w:eastAsia="Arial" w:hAnsi="Arial"/>
                <w:color w:val="14181D"/>
                <w:sz w:val="17"/>
                <w:szCs w:val="17"/>
              </w:rPr>
              <w:t xml:space="preserve">Token-efficient fetch and search for LLM agents. Reference-style URL preservation turns links into single-token markers under a token budget.</w:t>
            </w:r>
          </w:p>
        </w:tc>
        <w:tc>
          <w:tcPr>
            <w:tcW w:type="dxa" w:w="50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9"/>
              <w:left w:type="dxa" w:w="369"/>
              <w:bottom w:type="dxa" w:w="369"/>
              <w:right w:type="dxa" w:w="369"/>
            </w:tcMar>
          </w:tcPr>
          <w:p>
            <w:pPr>
              <w:pBdr>
                <w:bottom w:val="single" w:color="0A5245" w:sz="7" w:space="4"/>
              </w:pBdr>
              <w:spacing w:after="170" w:before="0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CLIENTS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350"/>
              <w:gridCol w:w="2975"/>
            </w:tblGrid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Lloyds Banking Group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Retail US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Holdings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SAU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Saudi Telecom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Banking UK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Barclays</w:t>
                  </w:r>
                </w:p>
              </w:tc>
            </w:tr>
            <w:tr>
              <w:tc>
                <w:tcPr>
                  <w:tcW w:type="dxa" w:w="1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Telecom AU</w:t>
                  </w:r>
                </w:p>
              </w:tc>
              <w:tc>
                <w:tcPr>
                  <w:tcW w:type="dxa" w:w="29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125" w:before="0" w:line="208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Telstra</w:t>
                  </w:r>
                </w:p>
              </w:tc>
            </w:tr>
          </w:tbl>
          <w:p>
            <w:pPr>
              <w:pBdr>
                <w:bottom w:val="single" w:color="0A5245" w:sz="7" w:space="4"/>
              </w:pBdr>
              <w:spacing w:after="170" w:before="255" w:line="190" w:lineRule="exact"/>
            </w:pPr>
            <w:r>
              <w:rPr>
                <w:rFonts w:ascii="Consolas" w:cs="Consolas" w:eastAsia="Consolas" w:hAnsi="Consolas"/>
                <w:b/>
                <w:bCs/>
                <w:color w:val="0A5245"/>
                <w:spacing w:val="24"/>
                <w:sz w:val="13"/>
                <w:szCs w:val="13"/>
              </w:rPr>
              <w:t xml:space="preserve">TRACK</w:t>
            </w:r>
          </w:p>
          <w:tbl>
            <w:tblPr>
              <w:tblW w:type="dxa" w:w="43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70"/>
              <w:gridCol w:w="3355"/>
            </w:tblGrid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2021—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Tata Consultancy Services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Solution 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2018—21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Sears India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Architect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2010—18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Cognizant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Sr. Associate — Projects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2008—10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Mahindra Satyam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Software Developer</w:t>
                  </w:r>
                </w:p>
              </w:tc>
            </w:tr>
            <w:tr>
              <w:tc>
                <w:tcPr>
                  <w:tcW w:type="dxa" w:w="9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70"/>
                  </w:tcMar>
                </w:tcPr>
                <w:p>
                  <w:pPr>
                    <w:spacing w:after="0" w:before="0" w:line="199" w:lineRule="exact"/>
                  </w:pPr>
                  <w:r>
                    <w:rPr>
                      <w:rFonts w:ascii="Consolas" w:cs="Consolas" w:eastAsia="Consolas" w:hAnsi="Consolas"/>
                      <w:color w:val="6C7571"/>
                      <w:sz w:val="14"/>
                      <w:szCs w:val="14"/>
                    </w:rPr>
                    <w:t xml:space="preserve">2003—07</w:t>
                  </w:r>
                </w:p>
              </w:tc>
              <w:tc>
                <w:tcPr>
                  <w:tcW w:type="dxa" w:w="335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16" w:lineRule="exac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181D"/>
                      <w:sz w:val="17"/>
                      <w:szCs w:val="17"/>
                    </w:rPr>
                    <w:t xml:space="preserve">BE Computer Science</w:t>
                  </w:r>
                </w:p>
                <w:p>
                  <w:pPr>
                    <w:spacing w:after="142" w:before="0" w:line="216" w:lineRule="exact"/>
                  </w:pPr>
                  <w:r>
                    <w:rPr>
                      <w:rFonts w:ascii="Arial" w:cs="Arial" w:eastAsia="Arial" w:hAnsi="Arial"/>
                      <w:color w:val="6C7571"/>
                      <w:sz w:val="14"/>
                      <w:szCs w:val="14"/>
                    </w:rPr>
                    <w:t xml:space="preserve">Walchand COE, Sangli</w:t>
                  </w:r>
                </w:p>
              </w:tc>
            </w:tr>
          </w:tbl>
          <w:p/>
        </w:tc>
      </w:tr>
    </w:tbl>
    <w:p>
      <w:pPr>
        <w:pBdr>
          <w:top w:val="single" w:color="D2D7D1" w:sz="7" w:space="7"/>
        </w:pBdr>
        <w:tabs>
          <w:tab w:val="right" w:pos="16838"/>
        </w:tabs>
        <w:spacing w:after="170" w:before="0" w:line="173" w:lineRule="exact"/>
        <w:ind w:left="567"/>
      </w:pPr>
      <w:r>
        <w:rPr>
          <w:rFonts w:ascii="Consolas" w:cs="Consolas" w:eastAsia="Consolas" w:hAnsi="Consolas"/>
          <w:color w:val="6C7571"/>
          <w:sz w:val="12"/>
          <w:szCs w:val="12"/>
        </w:rPr>
        <w:t xml:space="preserve">Sachin Koli — Solution Architect, Cloud Data &amp; AI Platforms</w:t>
      </w:r>
      <w:r>
        <w:t xml:space="preserve">	</w:t>
      </w:r>
      <w:r>
        <w:rPr>
          <w:rFonts w:ascii="Consolas" w:cs="Consolas" w:eastAsia="Consolas" w:hAnsi="Consolas"/>
          <w:color w:val="6C7571"/>
          <w:sz w:val="12"/>
          <w:szCs w:val="12"/>
        </w:rPr>
        <w:t xml:space="preserve">github.com/kolisachint</w:t>
      </w:r>
    </w:p>
    <w:sectPr>
      <w:pgSz w:w="16838" w:h="11906" w:orient="landscape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4181D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7f57ca1ca1693b4d44d27a7409bab020e50bc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Profile</dc:title>
  <dc:creator>Sachin Koli</dc:creator>
  <cp:lastModifiedBy>Un-named</cp:lastModifiedBy>
  <cp:revision>1</cp:revision>
  <dcterms:created xsi:type="dcterms:W3CDTF">2026-08-30T18:53:11.121Z</dcterms:created>
  <dcterms:modified xsi:type="dcterms:W3CDTF">2026-08-30T18:53:11.121Z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