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500" w:lineRule="exact"/>
      </w:pPr>
      <w:r>
        <w:rPr>
          <w:rFonts w:ascii="Arial" w:cs="Arial" w:eastAsia="Arial" w:hAnsi="Arial"/>
          <w:b/>
          <w:bCs/>
          <w:color w:val="0B0D0F"/>
          <w:spacing w:val="-8"/>
          <w:sz w:val="50"/>
          <w:szCs w:val="50"/>
        </w:rPr>
        <w:t xml:space="preserve">Sachin Koli</w:t>
      </w:r>
    </w:p>
    <w:p>
      <w:pPr>
        <w:spacing w:after="20" w:before="0" w:line="293" w:lineRule="exact"/>
      </w:pPr>
      <w:r>
        <w:rPr>
          <w:rFonts w:ascii="Arial" w:cs="Arial" w:eastAsia="Arial" w:hAnsi="Arial"/>
          <w:b/>
          <w:bCs/>
          <w:color w:val="0B5C4D"/>
          <w:sz w:val="22"/>
          <w:szCs w:val="22"/>
        </w:rPr>
        <w:t xml:space="preserve">Solution Architect — Cloud Data &amp; AI Platforms</w:t>
      </w:r>
    </w:p>
    <w:p>
      <w:pPr>
        <w:spacing w:after="100" w:before="0" w:line="239" w:lineRule="exact"/>
      </w:pPr>
      <w:r>
        <w:rPr>
          <w:rFonts w:ascii="Arial" w:cs="Arial" w:eastAsia="Arial" w:hAnsi="Arial"/>
          <w:b/>
          <w:bCs/>
          <w:color w:val="35424A"/>
          <w:sz w:val="18"/>
          <w:szCs w:val="18"/>
        </w:rPr>
        <w:t xml:space="preserve">Google Cloud Certified — Professional Data Engineer</w:t>
      </w:r>
    </w:p>
    <w:p>
      <w:pPr>
        <w:pBdr>
          <w:top w:val="single" w:color="D8DEE2" w:sz="6" w:space="5"/>
        </w:pBdr>
        <w:spacing w:after="0" w:before="0" w:line="229" w:lineRule="exact"/>
      </w:pPr>
      <w:r>
        <w:rPr>
          <w:rFonts w:ascii="Arial" w:cs="Arial" w:eastAsia="Arial" w:hAnsi="Arial"/>
          <w:color w:val="4A545C"/>
          <w:sz w:val="17"/>
          <w:szCs w:val="17"/>
        </w:rPr>
        <w:t xml:space="preserve">Pune, India</w:t>
      </w:r>
      <w:r>
        <w:rPr>
          <w:rFonts w:ascii="Arial" w:cs="Arial" w:eastAsia="Arial" w:hAnsi="Arial"/>
          <w:color w:val="B3BCC2"/>
          <w:sz w:val="17"/>
          <w:szCs w:val="17"/>
        </w:rPr>
        <w:t xml:space="preserve"> </w:t>
      </w:r>
      <w:r>
        <w:rPr>
          <w:rFonts w:ascii="Arial" w:cs="Arial" w:eastAsia="Arial" w:hAnsi="Arial"/>
          <w:color w:val="B3BCC2"/>
          <w:sz w:val="17"/>
          <w:szCs w:val="17"/>
        </w:rPr>
        <w:t xml:space="preserve">·</w:t>
      </w:r>
      <w:r>
        <w:rPr>
          <w:rFonts w:ascii="Arial" w:cs="Arial" w:eastAsia="Arial" w:hAnsi="Arial"/>
          <w:color w:val="B3BCC2"/>
          <w:sz w:val="17"/>
          <w:szCs w:val="17"/>
        </w:rPr>
        <w:t xml:space="preserve"> </w:t>
      </w:r>
      <w:r>
        <w:rPr>
          <w:rFonts w:ascii="Arial" w:cs="Arial" w:eastAsia="Arial" w:hAnsi="Arial"/>
          <w:color w:val="4A545C"/>
          <w:sz w:val="17"/>
          <w:szCs w:val="17"/>
        </w:rPr>
        <w:t xml:space="preserve">+91 95522 36200</w:t>
      </w:r>
      <w:r>
        <w:rPr>
          <w:rFonts w:ascii="Arial" w:cs="Arial" w:eastAsia="Arial" w:hAnsi="Arial"/>
          <w:color w:val="B3BCC2"/>
          <w:sz w:val="17"/>
          <w:szCs w:val="17"/>
        </w:rPr>
        <w:t xml:space="preserve"> </w:t>
      </w:r>
      <w:r>
        <w:rPr>
          <w:rFonts w:ascii="Arial" w:cs="Arial" w:eastAsia="Arial" w:hAnsi="Arial"/>
          <w:color w:val="B3BCC2"/>
          <w:sz w:val="17"/>
          <w:szCs w:val="17"/>
        </w:rPr>
        <w:t xml:space="preserve">·</w:t>
      </w:r>
      <w:r>
        <w:rPr>
          <w:rFonts w:ascii="Arial" w:cs="Arial" w:eastAsia="Arial" w:hAnsi="Arial"/>
          <w:color w:val="B3BCC2"/>
          <w:sz w:val="17"/>
          <w:szCs w:val="17"/>
        </w:rPr>
        <w:t xml:space="preserve"> </w:t>
      </w:r>
      <w:r>
        <w:rPr>
          <w:rFonts w:ascii="Arial" w:cs="Arial" w:eastAsia="Arial" w:hAnsi="Arial"/>
          <w:color w:val="4A545C"/>
          <w:sz w:val="17"/>
          <w:szCs w:val="17"/>
        </w:rPr>
        <w:t xml:space="preserve">kolisachint@gmail.com</w:t>
      </w:r>
      <w:r>
        <w:rPr>
          <w:rFonts w:ascii="Arial" w:cs="Arial" w:eastAsia="Arial" w:hAnsi="Arial"/>
          <w:color w:val="B3BCC2"/>
          <w:sz w:val="17"/>
          <w:szCs w:val="17"/>
        </w:rPr>
        <w:t xml:space="preserve"> </w:t>
      </w:r>
      <w:r>
        <w:rPr>
          <w:rFonts w:ascii="Arial" w:cs="Arial" w:eastAsia="Arial" w:hAnsi="Arial"/>
          <w:color w:val="B3BCC2"/>
          <w:sz w:val="17"/>
          <w:szCs w:val="17"/>
        </w:rPr>
        <w:t xml:space="preserve">·</w:t>
      </w:r>
      <w:r>
        <w:rPr>
          <w:rFonts w:ascii="Arial" w:cs="Arial" w:eastAsia="Arial" w:hAnsi="Arial"/>
          <w:color w:val="B3BCC2"/>
          <w:sz w:val="17"/>
          <w:szCs w:val="17"/>
        </w:rPr>
        <w:t xml:space="preserve"> </w:t>
      </w:r>
      <w:r>
        <w:rPr>
          <w:rFonts w:ascii="Arial" w:cs="Arial" w:eastAsia="Arial" w:hAnsi="Arial"/>
          <w:color w:val="4A545C"/>
          <w:sz w:val="17"/>
          <w:szCs w:val="17"/>
        </w:rPr>
        <w:t xml:space="preserve">linkedin.com/in/kolisachint</w:t>
      </w:r>
      <w:r>
        <w:rPr>
          <w:rFonts w:ascii="Arial" w:cs="Arial" w:eastAsia="Arial" w:hAnsi="Arial"/>
          <w:color w:val="B3BCC2"/>
          <w:sz w:val="17"/>
          <w:szCs w:val="17"/>
        </w:rPr>
        <w:t xml:space="preserve"> </w:t>
      </w:r>
      <w:r>
        <w:rPr>
          <w:rFonts w:ascii="Arial" w:cs="Arial" w:eastAsia="Arial" w:hAnsi="Arial"/>
          <w:color w:val="B3BCC2"/>
          <w:sz w:val="17"/>
          <w:szCs w:val="17"/>
        </w:rPr>
        <w:t xml:space="preserve">·</w:t>
      </w:r>
      <w:r>
        <w:rPr>
          <w:rFonts w:ascii="Arial" w:cs="Arial" w:eastAsia="Arial" w:hAnsi="Arial"/>
          <w:color w:val="B3BCC2"/>
          <w:sz w:val="17"/>
          <w:szCs w:val="17"/>
        </w:rPr>
        <w:t xml:space="preserve"> </w:t>
      </w:r>
      <w:r>
        <w:rPr>
          <w:rFonts w:ascii="Arial" w:cs="Arial" w:eastAsia="Arial" w:hAnsi="Arial"/>
          <w:color w:val="4A545C"/>
          <w:sz w:val="17"/>
          <w:szCs w:val="17"/>
        </w:rPr>
        <w:t xml:space="preserve">github.com/kolisachint</w:t>
      </w:r>
      <w:r>
        <w:rPr>
          <w:rFonts w:ascii="Arial" w:cs="Arial" w:eastAsia="Arial" w:hAnsi="Arial"/>
          <w:color w:val="B3BCC2"/>
          <w:sz w:val="17"/>
          <w:szCs w:val="17"/>
        </w:rPr>
        <w:t xml:space="preserve"> </w:t>
      </w:r>
      <w:r>
        <w:rPr>
          <w:rFonts w:ascii="Arial" w:cs="Arial" w:eastAsia="Arial" w:hAnsi="Arial"/>
          <w:color w:val="B3BCC2"/>
          <w:sz w:val="17"/>
          <w:szCs w:val="17"/>
        </w:rPr>
        <w:t xml:space="preserve">·</w:t>
      </w:r>
      <w:r>
        <w:rPr>
          <w:rFonts w:ascii="Arial" w:cs="Arial" w:eastAsia="Arial" w:hAnsi="Arial"/>
          <w:color w:val="B3BCC2"/>
          <w:sz w:val="17"/>
          <w:szCs w:val="17"/>
        </w:rPr>
        <w:t xml:space="preserve"> </w:t>
      </w:r>
      <w:r>
        <w:rPr>
          <w:rFonts w:ascii="Arial" w:cs="Arial" w:eastAsia="Arial" w:hAnsi="Arial"/>
          <w:color w:val="4A545C"/>
          <w:sz w:val="17"/>
          <w:szCs w:val="17"/>
        </w:rPr>
        <w:t xml:space="preserve">kolisachint.github.io</w:t>
      </w:r>
      <w:r>
        <w:rPr>
          <w:rFonts w:ascii="Arial" w:cs="Arial" w:eastAsia="Arial" w:hAnsi="Arial"/>
          <w:color w:val="4A545C"/>
          <w:sz w:val="17"/>
          <w:szCs w:val="17"/>
        </w:rPr>
        <w:t xml:space="preserve"> </w:t>
      </w:r>
    </w:p>
    <w:p>
      <w:pPr>
        <w:keepNext/>
        <w:pBdr>
          <w:bottom w:val="single" w:color="0B5C4D" w:sz="6" w:space="2"/>
        </w:pBdr>
        <w:spacing w:after="80" w:before="190" w:line="215" w:lineRule="exact"/>
      </w:pPr>
      <w:r>
        <w:rPr>
          <w:rFonts w:ascii="Arial" w:cs="Arial" w:eastAsia="Arial" w:hAnsi="Arial"/>
          <w:b/>
          <w:bCs/>
          <w:color w:val="0B5C4D"/>
          <w:spacing w:val="22"/>
          <w:sz w:val="16"/>
          <w:szCs w:val="16"/>
        </w:rPr>
        <w:t xml:space="preserve">SUMMARY</w:t>
      </w:r>
    </w:p>
    <w:p>
      <w:pPr>
        <w:spacing w:after="68" w:before="0" w:line="241" w:lineRule="exact"/>
        <w:jc w:val="both"/>
      </w:pPr>
      <w:r>
        <w:rPr>
          <w:rFonts w:ascii="Arial" w:cs="Arial" w:eastAsia="Arial" w:hAnsi="Arial"/>
          <w:b/>
          <w:bCs/>
          <w:color w:val="0B0D0F"/>
          <w:sz w:val="18"/>
          <w:szCs w:val="18"/>
        </w:rPr>
        <w:t xml:space="preserve">Google Cloud Certified Professional Data Engineer</w:t>
      </w:r>
      <w:r>
        <w:rPr>
          <w:rFonts w:ascii="Arial" w:cs="Arial" w:eastAsia="Arial" w:hAnsi="Arial"/>
          <w:color w:val="1A1D21"/>
          <w:sz w:val="18"/>
          <w:szCs w:val="18"/>
        </w:rPr>
        <w:t xml:space="preserve"> with </w:t>
      </w:r>
      <w:r>
        <w:rPr>
          <w:rFonts w:ascii="Arial" w:cs="Arial" w:eastAsia="Arial" w:hAnsi="Arial"/>
          <w:b/>
          <w:bCs/>
          <w:color w:val="0B0D0F"/>
          <w:sz w:val="18"/>
          <w:szCs w:val="18"/>
        </w:rPr>
        <w:t xml:space="preserve">18 years</w:t>
      </w:r>
      <w:r>
        <w:rPr>
          <w:rFonts w:ascii="Arial" w:cs="Arial" w:eastAsia="Arial" w:hAnsi="Arial"/>
          <w:color w:val="1A1D21"/>
          <w:sz w:val="18"/>
          <w:szCs w:val="18"/>
        </w:rPr>
        <w:t xml:space="preserve"> building enterprise data platforms, now architecting </w:t>
      </w:r>
      <w:r>
        <w:rPr>
          <w:rFonts w:ascii="Arial" w:cs="Arial" w:eastAsia="Arial" w:hAnsi="Arial"/>
          <w:b/>
          <w:bCs/>
          <w:color w:val="0B0D0F"/>
          <w:sz w:val="18"/>
          <w:szCs w:val="18"/>
        </w:rPr>
        <w:t xml:space="preserve">real-time streaming and batch data infrastructure on Google Cloud</w:t>
      </w:r>
      <w:r>
        <w:rPr>
          <w:rFonts w:ascii="Arial" w:cs="Arial" w:eastAsia="Arial" w:hAnsi="Arial"/>
          <w:color w:val="1A1D21"/>
          <w:sz w:val="18"/>
          <w:szCs w:val="18"/>
        </w:rPr>
        <w:t xml:space="preserve"> for a UK tier-1 retail bank — Confluent Kafka, Cloud Composer, dbt, BigQuery and Terraform, spanning legacy on-premise and cloud environments.</w:t>
      </w:r>
    </w:p>
    <w:p>
      <w:pPr>
        <w:spacing w:after="68" w:before="0" w:line="241" w:lineRule="exact"/>
        <w:jc w:val="both"/>
      </w:pPr>
      <w:r>
        <w:rPr>
          <w:rFonts w:ascii="Arial" w:cs="Arial" w:eastAsia="Arial" w:hAnsi="Arial"/>
          <w:color w:val="1A1D21"/>
          <w:sz w:val="18"/>
          <w:szCs w:val="18"/>
        </w:rPr>
        <w:t xml:space="preserve">Previously architected </w:t>
      </w:r>
      <w:r>
        <w:rPr>
          <w:rFonts w:ascii="Arial" w:cs="Arial" w:eastAsia="Arial" w:hAnsi="Arial"/>
          <w:b/>
          <w:bCs/>
          <w:color w:val="0B0D0F"/>
          <w:sz w:val="18"/>
          <w:szCs w:val="18"/>
        </w:rPr>
        <w:t xml:space="preserve">digital cards and payments</w:t>
      </w:r>
      <w:r>
        <w:rPr>
          <w:rFonts w:ascii="Arial" w:cs="Arial" w:eastAsia="Arial" w:hAnsi="Arial"/>
          <w:color w:val="1A1D21"/>
          <w:sz w:val="18"/>
          <w:szCs w:val="18"/>
        </w:rPr>
        <w:t xml:space="preserve"> at the same bank, migrating card servicing to GCP. The self-serve fraud journey I designed won at the </w:t>
      </w:r>
      <w:r>
        <w:rPr>
          <w:rFonts w:ascii="Arial" w:cs="Arial" w:eastAsia="Arial" w:hAnsi="Arial"/>
          <w:b/>
          <w:bCs/>
          <w:color w:val="0B0D0F"/>
          <w:sz w:val="18"/>
          <w:szCs w:val="18"/>
        </w:rPr>
        <w:t xml:space="preserve">Banking Tech Awards 2024</w:t>
      </w:r>
      <w:r>
        <w:rPr>
          <w:rFonts w:ascii="Arial" w:cs="Arial" w:eastAsia="Arial" w:hAnsi="Arial"/>
          <w:color w:val="1A1D21"/>
          <w:sz w:val="18"/>
          <w:szCs w:val="18"/>
        </w:rPr>
        <w:t xml:space="preserve"> and the </w:t>
      </w:r>
      <w:r>
        <w:rPr>
          <w:rFonts w:ascii="Arial" w:cs="Arial" w:eastAsia="Arial" w:hAnsi="Arial"/>
          <w:b/>
          <w:bCs/>
          <w:color w:val="0B0D0F"/>
          <w:sz w:val="18"/>
          <w:szCs w:val="18"/>
        </w:rPr>
        <w:t xml:space="preserve">Card &amp; Payments Awards 2025</w:t>
      </w:r>
      <w:r>
        <w:rPr>
          <w:rFonts w:ascii="Arial" w:cs="Arial" w:eastAsia="Arial" w:hAnsi="Arial"/>
          <w:color w:val="1A1D21"/>
          <w:sz w:val="18"/>
          <w:szCs w:val="18"/>
        </w:rPr>
        <w:t xml:space="preserve">.</w:t>
      </w:r>
    </w:p>
    <w:p>
      <w:pPr>
        <w:spacing w:after="68" w:before="0" w:line="241" w:lineRule="exact"/>
        <w:jc w:val="both"/>
      </w:pPr>
      <w:r>
        <w:rPr>
          <w:rFonts w:ascii="Arial" w:cs="Arial" w:eastAsia="Arial" w:hAnsi="Arial"/>
          <w:color w:val="1A1D21"/>
          <w:sz w:val="18"/>
          <w:szCs w:val="18"/>
        </w:rPr>
        <w:t xml:space="preserve">Across twelve prior years in retail, telecom and banking data: a </w:t>
      </w:r>
      <w:r>
        <w:rPr>
          <w:rFonts w:ascii="Arial" w:cs="Arial" w:eastAsia="Arial" w:hAnsi="Arial"/>
          <w:b/>
          <w:bCs/>
          <w:color w:val="0B0D0F"/>
          <w:sz w:val="18"/>
          <w:szCs w:val="18"/>
        </w:rPr>
        <w:t xml:space="preserve">Teradata → BigQuery</w:t>
      </w:r>
      <w:r>
        <w:rPr>
          <w:rFonts w:ascii="Arial" w:cs="Arial" w:eastAsia="Arial" w:hAnsi="Arial"/>
          <w:color w:val="1A1D21"/>
          <w:sz w:val="18"/>
          <w:szCs w:val="18"/>
        </w:rPr>
        <w:t xml:space="preserve"> lake migration, and a customer preference API on GCP that </w:t>
      </w:r>
      <w:r>
        <w:rPr>
          <w:rFonts w:ascii="Arial" w:cs="Arial" w:eastAsia="Arial" w:hAnsi="Arial"/>
          <w:b/>
          <w:bCs/>
          <w:color w:val="0B0D0F"/>
          <w:sz w:val="18"/>
          <w:szCs w:val="18"/>
        </w:rPr>
        <w:t xml:space="preserve">cut $600,000 a year</w:t>
      </w:r>
      <w:r>
        <w:rPr>
          <w:rFonts w:ascii="Arial" w:cs="Arial" w:eastAsia="Arial" w:hAnsi="Arial"/>
          <w:color w:val="1A1D21"/>
          <w:sz w:val="18"/>
          <w:szCs w:val="18"/>
        </w:rPr>
        <w:t xml:space="preserve"> in operating cost. Alongside all of it I </w:t>
      </w:r>
      <w:r>
        <w:rPr>
          <w:rFonts w:ascii="Arial" w:cs="Arial" w:eastAsia="Arial" w:hAnsi="Arial"/>
          <w:b/>
          <w:bCs/>
          <w:color w:val="0B0D0F"/>
          <w:sz w:val="18"/>
          <w:szCs w:val="18"/>
        </w:rPr>
        <w:t xml:space="preserve">ship applied-AI tooling in the open</w:t>
      </w:r>
      <w:r>
        <w:rPr>
          <w:rFonts w:ascii="Arial" w:cs="Arial" w:eastAsia="Arial" w:hAnsi="Arial"/>
          <w:color w:val="1A1D21"/>
          <w:sz w:val="18"/>
          <w:szCs w:val="18"/>
        </w:rPr>
        <w:t xml:space="preserve"> — a terminal coding agent published to npm, and the Rust beneath it: ONNX inference, an ANN index written from scratch, hybrid dense/lexical retrieval.</w:t>
      </w:r>
    </w:p>
    <w:p>
      <w:pPr>
        <w:keepNext/>
        <w:pBdr>
          <w:bottom w:val="single" w:color="0B5C4D" w:sz="6" w:space="2"/>
        </w:pBdr>
        <w:spacing w:after="80" w:before="122" w:line="215" w:lineRule="exact"/>
      </w:pPr>
      <w:r>
        <w:rPr>
          <w:rFonts w:ascii="Arial" w:cs="Arial" w:eastAsia="Arial" w:hAnsi="Arial"/>
          <w:b/>
          <w:bCs/>
          <w:color w:val="0B5C4D"/>
          <w:spacing w:val="22"/>
          <w:sz w:val="16"/>
          <w:szCs w:val="16"/>
        </w:rPr>
        <w:t xml:space="preserve">EXPERIENCE</w:t>
      </w:r>
    </w:p>
    <w:p>
      <w:pPr>
        <w:keepNext/>
        <w:tabs>
          <w:tab w:val="right" w:pos="10546"/>
        </w:tabs>
        <w:spacing w:after="0" w:before="0" w:line="241" w:lineRule="exact"/>
      </w:pPr>
      <w:r>
        <w:rPr>
          <w:rFonts w:ascii="Arial" w:cs="Arial" w:eastAsia="Arial" w:hAnsi="Arial"/>
          <w:b/>
          <w:bCs/>
          <w:color w:val="0B0D0F"/>
          <w:sz w:val="21"/>
          <w:szCs w:val="21"/>
        </w:rPr>
        <w:t xml:space="preserve">Tata Consultancy Services</w:t>
      </w:r>
      <w:r>
        <w:t xml:space="preserve">	</w:t>
      </w:r>
      <w:r>
        <w:rPr>
          <w:rFonts w:ascii="Arial" w:cs="Arial" w:eastAsia="Arial" w:hAnsi="Arial"/>
          <w:b/>
          <w:bCs/>
          <w:color w:val="5A646C"/>
          <w:sz w:val="17"/>
          <w:szCs w:val="17"/>
        </w:rPr>
        <w:t xml:space="preserve">Sep 2021 – Present</w:t>
      </w:r>
    </w:p>
    <w:p>
      <w:pPr>
        <w:keepNext/>
        <w:spacing w:after="0" w:before="10" w:line="239" w:lineRule="exact"/>
      </w:pPr>
      <w:r>
        <w:rPr>
          <w:rFonts w:ascii="Arial" w:cs="Arial" w:eastAsia="Arial" w:hAnsi="Arial"/>
          <w:color w:val="35424A"/>
          <w:sz w:val="18"/>
          <w:szCs w:val="18"/>
        </w:rPr>
        <w:t xml:space="preserve">Solution Architect · Pune, India</w:t>
      </w:r>
    </w:p>
    <w:p>
      <w:pPr>
        <w:keepNext/>
        <w:spacing w:after="0" w:before="50" w:line="226" w:lineRule="exact"/>
      </w:pPr>
      <w:r>
        <w:rPr>
          <w:rFonts w:ascii="Arial" w:cs="Arial" w:eastAsia="Arial" w:hAnsi="Arial"/>
          <w:b/>
          <w:bCs/>
          <w:color w:val="0B5C4D"/>
          <w:sz w:val="17"/>
          <w:szCs w:val="17"/>
        </w:rPr>
        <w:t xml:space="preserve">Client: Lloyds Banking Group, United Kingdom</w:t>
      </w:r>
    </w:p>
    <w:p>
      <w:pPr>
        <w:keepNext/>
        <w:spacing w:after="0" w:before="68" w:line="239" w:lineRule="exact"/>
      </w:pPr>
      <w:r>
        <w:rPr>
          <w:rFonts w:ascii="Arial" w:cs="Arial" w:eastAsia="Arial" w:hAnsi="Arial"/>
          <w:b/>
          <w:bCs/>
          <w:color w:val="35424A"/>
          <w:sz w:val="18"/>
          <w:szCs w:val="18"/>
        </w:rPr>
        <w:t xml:space="preserve">Data Platform &amp; Real-Time Analytics</w:t>
      </w:r>
      <w:r>
        <w:rPr>
          <w:rFonts w:ascii="Arial" w:cs="Arial" w:eastAsia="Arial" w:hAnsi="Arial"/>
          <w:color w:val="35424A"/>
          <w:sz w:val="18"/>
          <w:szCs w:val="18"/>
        </w:rPr>
        <w:t xml:space="preserve"> </w:t>
      </w:r>
      <w:r>
        <w:rPr>
          <w:rFonts w:ascii="Arial" w:cs="Arial" w:eastAsia="Arial" w:hAnsi="Arial"/>
          <w:b/>
          <w:bCs/>
          <w:color w:val="5A646C"/>
          <w:sz w:val="17"/>
          <w:szCs w:val="17"/>
        </w:rPr>
        <w:t xml:space="preserve">— Jul 2025 – Present</w:t>
      </w:r>
    </w:p>
    <w:p>
      <w:pPr>
        <w:pStyle w:val="ListParagraph"/>
        <w:keepLines/>
        <w:numPr>
          <w:ilvl w:val="0"/>
          <w:numId w:val="2"/>
        </w:numPr>
        <w:spacing w:after="38" w:before="48" w:line="241" w:lineRule="exact"/>
      </w:pPr>
      <w:r>
        <w:rPr>
          <w:rFonts w:ascii="Arial" w:cs="Arial" w:eastAsia="Arial" w:hAnsi="Arial"/>
          <w:color w:val="1A1D21"/>
          <w:sz w:val="18"/>
          <w:szCs w:val="18"/>
        </w:rPr>
        <w:t xml:space="preserve">Architected the bank's </w:t>
      </w:r>
      <w:r>
        <w:rPr>
          <w:rFonts w:ascii="Arial" w:cs="Arial" w:eastAsia="Arial" w:hAnsi="Arial"/>
          <w:b/>
          <w:bCs/>
          <w:color w:val="1A1D21"/>
          <w:sz w:val="18"/>
          <w:szCs w:val="18"/>
        </w:rPr>
        <w:t xml:space="preserve">end-to-end batch and real-time streaming data platform</w:t>
      </w:r>
      <w:r>
        <w:rPr>
          <w:rFonts w:ascii="Arial" w:cs="Arial" w:eastAsia="Arial" w:hAnsi="Arial"/>
          <w:color w:val="1A1D21"/>
          <w:sz w:val="18"/>
          <w:szCs w:val="18"/>
        </w:rPr>
        <w:t xml:space="preserve"> on Google Cloud, supporting high-throughput analytics, operational reporting and machine learning workloads.</w:t>
      </w:r>
    </w:p>
    <w:p>
      <w:pPr>
        <w:pStyle w:val="ListParagraph"/>
        <w:keepLines/>
        <w:numPr>
          <w:ilvl w:val="0"/>
          <w:numId w:val="2"/>
        </w:numPr>
        <w:spacing w:after="38" w:before="0" w:line="241" w:lineRule="exact"/>
      </w:pPr>
      <w:r>
        <w:rPr>
          <w:rFonts w:ascii="Arial" w:cs="Arial" w:eastAsia="Arial" w:hAnsi="Arial"/>
          <w:color w:val="1A1D21"/>
          <w:sz w:val="18"/>
          <w:szCs w:val="18"/>
        </w:rPr>
        <w:t xml:space="preserve">Engineered high-availability, event-driven ingestion pipelines on </w:t>
      </w:r>
      <w:r>
        <w:rPr>
          <w:rFonts w:ascii="Arial" w:cs="Arial" w:eastAsia="Arial" w:hAnsi="Arial"/>
          <w:b/>
          <w:bCs/>
          <w:color w:val="1A1D21"/>
          <w:sz w:val="18"/>
          <w:szCs w:val="18"/>
        </w:rPr>
        <w:t xml:space="preserve">Confluent Kafka</w:t>
      </w:r>
      <w:r>
        <w:rPr>
          <w:rFonts w:ascii="Arial" w:cs="Arial" w:eastAsia="Arial" w:hAnsi="Arial"/>
          <w:color w:val="1A1D21"/>
          <w:sz w:val="18"/>
          <w:szCs w:val="18"/>
        </w:rPr>
        <w:t xml:space="preserve"> with Python, delivering low-latency data for operational reporting and instant business insight.</w:t>
      </w:r>
    </w:p>
    <w:p>
      <w:pPr>
        <w:pStyle w:val="ListParagraph"/>
        <w:keepLines/>
        <w:numPr>
          <w:ilvl w:val="0"/>
          <w:numId w:val="2"/>
        </w:numPr>
        <w:spacing w:after="38" w:before="0" w:line="241" w:lineRule="exact"/>
      </w:pPr>
      <w:r>
        <w:rPr>
          <w:rFonts w:ascii="Arial" w:cs="Arial" w:eastAsia="Arial" w:hAnsi="Arial"/>
          <w:color w:val="1A1D21"/>
          <w:sz w:val="18"/>
          <w:szCs w:val="18"/>
        </w:rPr>
        <w:t xml:space="preserve">Architected hybrid batch orchestration across </w:t>
      </w:r>
      <w:r>
        <w:rPr>
          <w:rFonts w:ascii="Arial" w:cs="Arial" w:eastAsia="Arial" w:hAnsi="Arial"/>
          <w:b/>
          <w:bCs/>
          <w:color w:val="1A1D21"/>
          <w:sz w:val="18"/>
          <w:szCs w:val="18"/>
        </w:rPr>
        <w:t xml:space="preserve">Cloud Composer (Apache Airflow)</w:t>
      </w:r>
      <w:r>
        <w:rPr>
          <w:rFonts w:ascii="Arial" w:cs="Arial" w:eastAsia="Arial" w:hAnsi="Arial"/>
          <w:color w:val="1A1D21"/>
          <w:sz w:val="18"/>
          <w:szCs w:val="18"/>
        </w:rPr>
        <w:t xml:space="preserve"> and </w:t>
      </w:r>
      <w:r>
        <w:rPr>
          <w:rFonts w:ascii="Arial" w:cs="Arial" w:eastAsia="Arial" w:hAnsi="Arial"/>
          <w:b/>
          <w:bCs/>
          <w:color w:val="1A1D21"/>
          <w:sz w:val="18"/>
          <w:szCs w:val="18"/>
        </w:rPr>
        <w:t xml:space="preserve">IBM Tivoli Workload Scheduler</w:t>
      </w:r>
      <w:r>
        <w:rPr>
          <w:rFonts w:ascii="Arial" w:cs="Arial" w:eastAsia="Arial" w:hAnsi="Arial"/>
          <w:color w:val="1A1D21"/>
          <w:sz w:val="18"/>
          <w:szCs w:val="18"/>
        </w:rPr>
        <w:t xml:space="preserve">, managing complex dependency graphs that span legacy on-premise and cloud environments.</w:t>
      </w:r>
    </w:p>
    <w:p>
      <w:pPr>
        <w:pStyle w:val="ListParagraph"/>
        <w:keepLines/>
        <w:numPr>
          <w:ilvl w:val="0"/>
          <w:numId w:val="2"/>
        </w:numPr>
        <w:spacing w:after="38" w:before="0" w:line="241" w:lineRule="exact"/>
      </w:pPr>
      <w:r>
        <w:rPr>
          <w:rFonts w:ascii="Arial" w:cs="Arial" w:eastAsia="Arial" w:hAnsi="Arial"/>
          <w:color w:val="1A1D21"/>
          <w:sz w:val="18"/>
          <w:szCs w:val="18"/>
        </w:rPr>
        <w:t xml:space="preserve">Designed optimised </w:t>
      </w:r>
      <w:r>
        <w:rPr>
          <w:rFonts w:ascii="Arial" w:cs="Arial" w:eastAsia="Arial" w:hAnsi="Arial"/>
          <w:b/>
          <w:bCs/>
          <w:color w:val="1A1D21"/>
          <w:sz w:val="18"/>
          <w:szCs w:val="18"/>
        </w:rPr>
        <w:t xml:space="preserve">BigQuery</w:t>
      </w:r>
      <w:r>
        <w:rPr>
          <w:rFonts w:ascii="Arial" w:cs="Arial" w:eastAsia="Arial" w:hAnsi="Arial"/>
          <w:color w:val="1A1D21"/>
          <w:sz w:val="18"/>
          <w:szCs w:val="18"/>
        </w:rPr>
        <w:t xml:space="preserve"> warehouse schemas and modular </w:t>
      </w:r>
      <w:r>
        <w:rPr>
          <w:rFonts w:ascii="Arial" w:cs="Arial" w:eastAsia="Arial" w:hAnsi="Arial"/>
          <w:b/>
          <w:bCs/>
          <w:color w:val="1A1D21"/>
          <w:sz w:val="18"/>
          <w:szCs w:val="18"/>
        </w:rPr>
        <w:t xml:space="preserve">dbt</w:t>
      </w:r>
      <w:r>
        <w:rPr>
          <w:rFonts w:ascii="Arial" w:cs="Arial" w:eastAsia="Arial" w:hAnsi="Arial"/>
          <w:color w:val="1A1D21"/>
          <w:sz w:val="18"/>
          <w:szCs w:val="18"/>
        </w:rPr>
        <w:t xml:space="preserve"> transformation pipelines with enforced data quality and lineage; built automated testing, validation and monitoring frameworks so downstream analytics fail loudly rather than silently.</w:t>
      </w:r>
    </w:p>
    <w:p>
      <w:pPr>
        <w:pStyle w:val="ListParagraph"/>
        <w:keepLines/>
        <w:numPr>
          <w:ilvl w:val="0"/>
          <w:numId w:val="2"/>
        </w:numPr>
        <w:spacing w:after="38" w:before="0" w:line="241" w:lineRule="exact"/>
      </w:pPr>
      <w:r>
        <w:rPr>
          <w:rFonts w:ascii="Arial" w:cs="Arial" w:eastAsia="Arial" w:hAnsi="Arial"/>
          <w:color w:val="1A1D21"/>
          <w:sz w:val="18"/>
          <w:szCs w:val="18"/>
        </w:rPr>
        <w:t xml:space="preserve">Standardised infrastructure with </w:t>
      </w:r>
      <w:r>
        <w:rPr>
          <w:rFonts w:ascii="Arial" w:cs="Arial" w:eastAsia="Arial" w:hAnsi="Arial"/>
          <w:b/>
          <w:bCs/>
          <w:color w:val="1A1D21"/>
          <w:sz w:val="18"/>
          <w:szCs w:val="18"/>
        </w:rPr>
        <w:t xml:space="preserve">Terraform</w:t>
      </w:r>
      <w:r>
        <w:rPr>
          <w:rFonts w:ascii="Arial" w:cs="Arial" w:eastAsia="Arial" w:hAnsi="Arial"/>
          <w:color w:val="1A1D21"/>
          <w:sz w:val="18"/>
          <w:szCs w:val="18"/>
        </w:rPr>
        <w:t xml:space="preserve"> — Composer environments, BigQuery datasets, Kafka connectors and IAM roles — and integrated it into </w:t>
      </w:r>
      <w:r>
        <w:rPr>
          <w:rFonts w:ascii="Arial" w:cs="Arial" w:eastAsia="Arial" w:hAnsi="Arial"/>
          <w:b/>
          <w:bCs/>
          <w:color w:val="1A1D21"/>
          <w:sz w:val="18"/>
          <w:szCs w:val="18"/>
        </w:rPr>
        <w:t xml:space="preserve">CI/CD</w:t>
      </w:r>
      <w:r>
        <w:rPr>
          <w:rFonts w:ascii="Arial" w:cs="Arial" w:eastAsia="Arial" w:hAnsi="Arial"/>
          <w:color w:val="1A1D21"/>
          <w:sz w:val="18"/>
          <w:szCs w:val="18"/>
        </w:rPr>
        <w:t xml:space="preserve">, cutting configuration drift and deployment cycle time.</w:t>
      </w:r>
    </w:p>
    <w:p>
      <w:pPr>
        <w:pStyle w:val="ListParagraph"/>
        <w:keepLines/>
        <w:numPr>
          <w:ilvl w:val="0"/>
          <w:numId w:val="2"/>
        </w:numPr>
        <w:spacing w:after="38" w:before="0" w:line="241" w:lineRule="exact"/>
      </w:pPr>
      <w:r>
        <w:rPr>
          <w:rFonts w:ascii="Arial" w:cs="Arial" w:eastAsia="Arial" w:hAnsi="Arial"/>
          <w:color w:val="1A1D21"/>
          <w:sz w:val="18"/>
          <w:szCs w:val="18"/>
        </w:rPr>
        <w:t xml:space="preserve">Implemented BigQuery and GCP </w:t>
      </w:r>
      <w:r>
        <w:rPr>
          <w:rFonts w:ascii="Arial" w:cs="Arial" w:eastAsia="Arial" w:hAnsi="Arial"/>
          <w:b/>
          <w:bCs/>
          <w:color w:val="1A1D21"/>
          <w:sz w:val="18"/>
          <w:szCs w:val="18"/>
        </w:rPr>
        <w:t xml:space="preserve">cost optimisation and governance</w:t>
      </w:r>
      <w:r>
        <w:rPr>
          <w:rFonts w:ascii="Arial" w:cs="Arial" w:eastAsia="Arial" w:hAnsi="Arial"/>
          <w:color w:val="1A1D21"/>
          <w:sz w:val="18"/>
          <w:szCs w:val="18"/>
        </w:rPr>
        <w:t xml:space="preserve">, reducing compute overhead while improving query performance and data security.</w:t>
      </w:r>
    </w:p>
    <w:p>
      <w:pPr>
        <w:pStyle w:val="ListParagraph"/>
        <w:keepLines/>
        <w:numPr>
          <w:ilvl w:val="0"/>
          <w:numId w:val="2"/>
        </w:numPr>
        <w:spacing w:after="38" w:before="0" w:line="241" w:lineRule="exact"/>
      </w:pPr>
      <w:r>
        <w:rPr>
          <w:rFonts w:ascii="Arial" w:cs="Arial" w:eastAsia="Arial" w:hAnsi="Arial"/>
          <w:color w:val="1A1D21"/>
          <w:sz w:val="18"/>
          <w:szCs w:val="18"/>
        </w:rPr>
        <w:t xml:space="preserve">Partnered with leadership, security and business units to turn requirements into production-ready architectural blueprints.</w:t>
      </w:r>
    </w:p>
    <w:p>
      <w:pPr>
        <w:keepNext/>
        <w:spacing w:after="0" w:before="30" w:line="239" w:lineRule="exact"/>
      </w:pPr>
      <w:r>
        <w:rPr>
          <w:rFonts w:ascii="Arial" w:cs="Arial" w:eastAsia="Arial" w:hAnsi="Arial"/>
          <w:b/>
          <w:bCs/>
          <w:color w:val="35424A"/>
          <w:sz w:val="18"/>
          <w:szCs w:val="18"/>
        </w:rPr>
        <w:t xml:space="preserve">Digital Cards Modernisation</w:t>
      </w:r>
      <w:r>
        <w:rPr>
          <w:rFonts w:ascii="Arial" w:cs="Arial" w:eastAsia="Arial" w:hAnsi="Arial"/>
          <w:color w:val="35424A"/>
          <w:sz w:val="18"/>
          <w:szCs w:val="18"/>
        </w:rPr>
        <w:t xml:space="preserve"> </w:t>
      </w:r>
      <w:r>
        <w:rPr>
          <w:rFonts w:ascii="Arial" w:cs="Arial" w:eastAsia="Arial" w:hAnsi="Arial"/>
          <w:b/>
          <w:bCs/>
          <w:color w:val="5A646C"/>
          <w:sz w:val="17"/>
          <w:szCs w:val="17"/>
        </w:rPr>
        <w:t xml:space="preserve">— 2022 – Jul 2025</w:t>
      </w:r>
    </w:p>
    <w:p>
      <w:pPr>
        <w:pStyle w:val="ListParagraph"/>
        <w:keepLines/>
        <w:numPr>
          <w:ilvl w:val="0"/>
          <w:numId w:val="2"/>
        </w:numPr>
        <w:spacing w:after="38" w:before="48" w:line="241" w:lineRule="exact"/>
      </w:pPr>
      <w:r>
        <w:rPr>
          <w:rFonts w:ascii="Arial" w:cs="Arial" w:eastAsia="Arial" w:hAnsi="Arial"/>
          <w:color w:val="1A1D21"/>
          <w:sz w:val="18"/>
          <w:szCs w:val="18"/>
        </w:rPr>
        <w:t xml:space="preserve">Led end-to-end modernisation of </w:t>
      </w:r>
      <w:r>
        <w:rPr>
          <w:rFonts w:ascii="Arial" w:cs="Arial" w:eastAsia="Arial" w:hAnsi="Arial"/>
          <w:b/>
          <w:bCs/>
          <w:color w:val="1A1D21"/>
          <w:sz w:val="18"/>
          <w:szCs w:val="18"/>
        </w:rPr>
        <w:t xml:space="preserve">Digital Cards</w:t>
      </w:r>
      <w:r>
        <w:rPr>
          <w:rFonts w:ascii="Arial" w:cs="Arial" w:eastAsia="Arial" w:hAnsi="Arial"/>
          <w:color w:val="1A1D21"/>
          <w:sz w:val="18"/>
          <w:szCs w:val="18"/>
        </w:rPr>
        <w:t xml:space="preserve"> — Add to Wallet, card controls, View PIN / View Card — migrating from on-premise infrastructure to </w:t>
      </w:r>
      <w:r>
        <w:rPr>
          <w:rFonts w:ascii="Arial" w:cs="Arial" w:eastAsia="Arial" w:hAnsi="Arial"/>
          <w:b/>
          <w:bCs/>
          <w:color w:val="1A1D21"/>
          <w:sz w:val="18"/>
          <w:szCs w:val="18"/>
        </w:rPr>
        <w:t xml:space="preserve">GCP</w:t>
      </w:r>
      <w:r>
        <w:rPr>
          <w:rFonts w:ascii="Arial" w:cs="Arial" w:eastAsia="Arial" w:hAnsi="Arial"/>
          <w:color w:val="1A1D21"/>
          <w:sz w:val="18"/>
          <w:szCs w:val="18"/>
        </w:rPr>
        <w:t xml:space="preserve">.</w:t>
      </w:r>
    </w:p>
    <w:p>
      <w:pPr>
        <w:pStyle w:val="ListParagraph"/>
        <w:keepLines/>
        <w:numPr>
          <w:ilvl w:val="0"/>
          <w:numId w:val="2"/>
        </w:numPr>
        <w:spacing w:after="38" w:before="0" w:line="241" w:lineRule="exact"/>
      </w:pPr>
      <w:r>
        <w:rPr>
          <w:rFonts w:ascii="Arial" w:cs="Arial" w:eastAsia="Arial" w:hAnsi="Arial"/>
          <w:color w:val="1A1D21"/>
          <w:sz w:val="18"/>
          <w:szCs w:val="18"/>
        </w:rPr>
        <w:t xml:space="preserve">Architected secure, scalable </w:t>
      </w:r>
      <w:r>
        <w:rPr>
          <w:rFonts w:ascii="Arial" w:cs="Arial" w:eastAsia="Arial" w:hAnsi="Arial"/>
          <w:b/>
          <w:bCs/>
          <w:color w:val="1A1D21"/>
          <w:sz w:val="18"/>
          <w:szCs w:val="18"/>
        </w:rPr>
        <w:t xml:space="preserve">microservices and cross-cloud API patterns</w:t>
      </w:r>
      <w:r>
        <w:rPr>
          <w:rFonts w:ascii="Arial" w:cs="Arial" w:eastAsia="Arial" w:hAnsi="Arial"/>
          <w:color w:val="1A1D21"/>
          <w:sz w:val="18"/>
          <w:szCs w:val="18"/>
        </w:rPr>
        <w:t xml:space="preserve"> meeting banking compliance and performance requirements.</w:t>
      </w:r>
    </w:p>
    <w:p>
      <w:pPr>
        <w:pStyle w:val="ListParagraph"/>
        <w:keepLines/>
        <w:numPr>
          <w:ilvl w:val="0"/>
          <w:numId w:val="2"/>
        </w:numPr>
        <w:spacing w:after="38" w:before="0" w:line="241" w:lineRule="exact"/>
      </w:pPr>
      <w:r>
        <w:rPr>
          <w:rFonts w:ascii="Arial" w:cs="Arial" w:eastAsia="Arial" w:hAnsi="Arial"/>
          <w:b/>
          <w:bCs/>
          <w:color w:val="1A1D21"/>
          <w:sz w:val="18"/>
          <w:szCs w:val="18"/>
        </w:rPr>
        <w:t xml:space="preserve">Award-winning self-serve fraud journey</w:t>
      </w:r>
      <w:r>
        <w:rPr>
          <w:rFonts w:ascii="Arial" w:cs="Arial" w:eastAsia="Arial" w:hAnsi="Arial"/>
          <w:color w:val="1A1D21"/>
          <w:sz w:val="18"/>
          <w:szCs w:val="18"/>
        </w:rPr>
        <w:t xml:space="preserve"> — recognised at the Banking Tech Awards 2024 and the Card &amp; Payments Awards 2025 — moving fraud handling from an assisted call-centre process to a journey the customer completes.</w:t>
      </w:r>
    </w:p>
    <w:p>
      <w:pPr>
        <w:pStyle w:val="ListParagraph"/>
        <w:keepLines/>
        <w:numPr>
          <w:ilvl w:val="0"/>
          <w:numId w:val="2"/>
        </w:numPr>
        <w:spacing w:after="130" w:before="0" w:line="241" w:lineRule="exact"/>
      </w:pPr>
      <w:r>
        <w:rPr>
          <w:rFonts w:ascii="Arial" w:cs="Arial" w:eastAsia="Arial" w:hAnsi="Arial"/>
          <w:color w:val="1A1D21"/>
          <w:sz w:val="18"/>
          <w:szCs w:val="18"/>
        </w:rPr>
        <w:t xml:space="preserve">Designed service discovery, API gateways, containerisation, load balancing and secure inter-service communication across a hybrid estate.</w:t>
      </w:r>
    </w:p>
    <w:p>
      <w:pPr>
        <w:keepNext/>
        <w:tabs>
          <w:tab w:val="right" w:pos="10546"/>
        </w:tabs>
        <w:spacing w:after="0" w:before="0" w:line="241" w:lineRule="exact"/>
      </w:pPr>
      <w:r>
        <w:rPr>
          <w:rFonts w:ascii="Arial" w:cs="Arial" w:eastAsia="Arial" w:hAnsi="Arial"/>
          <w:b/>
          <w:bCs/>
          <w:color w:val="0B0D0F"/>
          <w:sz w:val="21"/>
          <w:szCs w:val="21"/>
        </w:rPr>
        <w:t xml:space="preserve">Sears IT and Management Services India</w:t>
      </w:r>
      <w:r>
        <w:t xml:space="preserve">	</w:t>
      </w:r>
      <w:r>
        <w:rPr>
          <w:rFonts w:ascii="Arial" w:cs="Arial" w:eastAsia="Arial" w:hAnsi="Arial"/>
          <w:b/>
          <w:bCs/>
          <w:color w:val="5A646C"/>
          <w:sz w:val="17"/>
          <w:szCs w:val="17"/>
        </w:rPr>
        <w:t xml:space="preserve">Feb 2018 – Sep 2021</w:t>
      </w:r>
    </w:p>
    <w:p>
      <w:pPr>
        <w:keepNext/>
        <w:spacing w:after="0" w:before="10" w:line="239" w:lineRule="exact"/>
      </w:pPr>
      <w:r>
        <w:rPr>
          <w:rFonts w:ascii="Arial" w:cs="Arial" w:eastAsia="Arial" w:hAnsi="Arial"/>
          <w:color w:val="35424A"/>
          <w:sz w:val="18"/>
          <w:szCs w:val="18"/>
        </w:rPr>
        <w:t xml:space="preserve">Technical Specialist → Architect · Pune, India</w:t>
      </w:r>
    </w:p>
    <w:p>
      <w:pPr>
        <w:keepNext/>
        <w:spacing w:after="0" w:before="50" w:line="226" w:lineRule="exact"/>
      </w:pPr>
      <w:r>
        <w:rPr>
          <w:rFonts w:ascii="Arial" w:cs="Arial" w:eastAsia="Arial" w:hAnsi="Arial"/>
          <w:b/>
          <w:bCs/>
          <w:color w:val="0B5C4D"/>
          <w:sz w:val="17"/>
          <w:szCs w:val="17"/>
        </w:rPr>
        <w:t xml:space="preserve">Client: Sears Holdings Corporation, United States </w:t>
      </w:r>
      <w:r>
        <w:rPr>
          <w:rFonts w:ascii="Arial" w:cs="Arial" w:eastAsia="Arial" w:hAnsi="Arial"/>
          <w:color w:val="6B757C"/>
          <w:sz w:val="17"/>
          <w:szCs w:val="17"/>
        </w:rPr>
        <w:t xml:space="preserve">— Targeted Interactions / TI Mart</w:t>
      </w:r>
    </w:p>
    <w:p>
      <w:pPr>
        <w:pStyle w:val="ListParagraph"/>
        <w:keepLines/>
        <w:numPr>
          <w:ilvl w:val="0"/>
          <w:numId w:val="2"/>
        </w:numPr>
        <w:spacing w:after="38" w:before="48" w:line="241" w:lineRule="exact"/>
      </w:pPr>
      <w:r>
        <w:rPr>
          <w:rFonts w:ascii="Arial" w:cs="Arial" w:eastAsia="Arial" w:hAnsi="Arial"/>
          <w:color w:val="1A1D21"/>
          <w:sz w:val="18"/>
          <w:szCs w:val="18"/>
        </w:rPr>
        <w:t xml:space="preserve">Built the </w:t>
      </w:r>
      <w:r>
        <w:rPr>
          <w:rFonts w:ascii="Arial" w:cs="Arial" w:eastAsia="Arial" w:hAnsi="Arial"/>
          <w:b/>
          <w:bCs/>
          <w:color w:val="1A1D21"/>
          <w:sz w:val="18"/>
          <w:szCs w:val="18"/>
        </w:rPr>
        <w:t xml:space="preserve">Email Preference Center API</w:t>
      </w:r>
      <w:r>
        <w:rPr>
          <w:rFonts w:ascii="Arial" w:cs="Arial" w:eastAsia="Arial" w:hAnsi="Arial"/>
          <w:color w:val="1A1D21"/>
          <w:sz w:val="18"/>
          <w:szCs w:val="18"/>
        </w:rPr>
        <w:t xml:space="preserve"> on GCP App Engine, Pub/Sub, DataFlow and BigQuery, serving millions of customers — </w:t>
      </w:r>
      <w:r>
        <w:rPr>
          <w:rFonts w:ascii="Arial" w:cs="Arial" w:eastAsia="Arial" w:hAnsi="Arial"/>
          <w:b/>
          <w:bCs/>
          <w:color w:val="1A1D21"/>
          <w:sz w:val="18"/>
          <w:szCs w:val="18"/>
        </w:rPr>
        <w:t xml:space="preserve">reduced annual cost by $600,000</w:t>
      </w:r>
      <w:r>
        <w:rPr>
          <w:rFonts w:ascii="Arial" w:cs="Arial" w:eastAsia="Arial" w:hAnsi="Arial"/>
          <w:color w:val="1A1D21"/>
          <w:sz w:val="18"/>
          <w:szCs w:val="18"/>
        </w:rPr>
        <w:t xml:space="preserve">.</w:t>
      </w:r>
    </w:p>
    <w:p>
      <w:pPr>
        <w:pStyle w:val="ListParagraph"/>
        <w:keepLines/>
        <w:numPr>
          <w:ilvl w:val="0"/>
          <w:numId w:val="2"/>
        </w:numPr>
        <w:spacing w:after="38" w:before="0" w:line="241" w:lineRule="exact"/>
      </w:pPr>
      <w:r>
        <w:rPr>
          <w:rFonts w:ascii="Arial" w:cs="Arial" w:eastAsia="Arial" w:hAnsi="Arial"/>
          <w:b/>
          <w:bCs/>
          <w:color w:val="1A1D21"/>
          <w:sz w:val="18"/>
          <w:szCs w:val="18"/>
        </w:rPr>
        <w:t xml:space="preserve">Migrated DataMarts from Teradata to BigQuery</w:t>
      </w:r>
      <w:r>
        <w:rPr>
          <w:rFonts w:ascii="Arial" w:cs="Arial" w:eastAsia="Arial" w:hAnsi="Arial"/>
          <w:color w:val="1A1D21"/>
          <w:sz w:val="18"/>
          <w:szCs w:val="18"/>
        </w:rPr>
        <w:t xml:space="preserve">, on schedule and without significant incident.</w:t>
      </w:r>
    </w:p>
    <w:p>
      <w:pPr>
        <w:pStyle w:val="ListParagraph"/>
        <w:keepLines/>
        <w:numPr>
          <w:ilvl w:val="0"/>
          <w:numId w:val="2"/>
        </w:numPr>
        <w:spacing w:after="38" w:before="0" w:line="241" w:lineRule="exact"/>
      </w:pPr>
      <w:r>
        <w:rPr>
          <w:rFonts w:ascii="Arial" w:cs="Arial" w:eastAsia="Arial" w:hAnsi="Arial"/>
          <w:color w:val="1A1D21"/>
          <w:sz w:val="18"/>
          <w:szCs w:val="18"/>
        </w:rPr>
        <w:t xml:space="preserve">Built an </w:t>
      </w:r>
      <w:r>
        <w:rPr>
          <w:rFonts w:ascii="Arial" w:cs="Arial" w:eastAsia="Arial" w:hAnsi="Arial"/>
          <w:b/>
          <w:bCs/>
          <w:color w:val="1A1D21"/>
          <w:sz w:val="18"/>
          <w:szCs w:val="18"/>
        </w:rPr>
        <w:t xml:space="preserve">API management layer</w:t>
      </w:r>
      <w:r>
        <w:rPr>
          <w:rFonts w:ascii="Arial" w:cs="Arial" w:eastAsia="Arial" w:hAnsi="Arial"/>
          <w:color w:val="1A1D21"/>
          <w:sz w:val="18"/>
          <w:szCs w:val="18"/>
        </w:rPr>
        <w:t xml:space="preserve"> decoupling applications from cloud complexity across a multicloud estate — reused as the blueprint by other teams.</w:t>
      </w:r>
    </w:p>
    <w:p>
      <w:pPr>
        <w:pStyle w:val="ListParagraph"/>
        <w:keepLines/>
        <w:numPr>
          <w:ilvl w:val="0"/>
          <w:numId w:val="2"/>
        </w:numPr>
        <w:spacing w:after="38" w:before="0" w:line="241" w:lineRule="exact"/>
      </w:pPr>
      <w:r>
        <w:rPr>
          <w:rFonts w:ascii="Arial" w:cs="Arial" w:eastAsia="Arial" w:hAnsi="Arial"/>
          <w:color w:val="1A1D21"/>
          <w:sz w:val="18"/>
          <w:szCs w:val="18"/>
        </w:rPr>
        <w:t xml:space="preserve">Replaced self-hosted tooling with cloud-native across five stacks: Teradata → BigQuery · Unix → Compute Engine · Control-M → Airflow · shell/ETL → Python · GitLab Enterprise → Cloud Source Repositories.</w:t>
      </w:r>
    </w:p>
    <w:p>
      <w:pPr>
        <w:pStyle w:val="ListParagraph"/>
        <w:keepLines/>
        <w:numPr>
          <w:ilvl w:val="0"/>
          <w:numId w:val="2"/>
        </w:numPr>
        <w:spacing w:after="38" w:before="0" w:line="241" w:lineRule="exact"/>
      </w:pPr>
      <w:r>
        <w:rPr>
          <w:rFonts w:ascii="Arial" w:cs="Arial" w:eastAsia="Arial" w:hAnsi="Arial"/>
          <w:color w:val="1A1D21"/>
          <w:sz w:val="18"/>
          <w:szCs w:val="18"/>
        </w:rPr>
        <w:t xml:space="preserve">Designed shared datamarts (CDW, NSegment, Campaign) in BigQuery; led enterprise migration from </w:t>
      </w:r>
      <w:r>
        <w:rPr>
          <w:rFonts w:ascii="Arial" w:cs="Arial" w:eastAsia="Arial" w:hAnsi="Arial"/>
          <w:b/>
          <w:bCs/>
          <w:color w:val="1A1D21"/>
          <w:sz w:val="18"/>
          <w:szCs w:val="18"/>
        </w:rPr>
        <w:t xml:space="preserve">IBM Unica to Adobe Campaign</w:t>
      </w:r>
      <w:r>
        <w:rPr>
          <w:rFonts w:ascii="Arial" w:cs="Arial" w:eastAsia="Arial" w:hAnsi="Arial"/>
          <w:color w:val="1A1D21"/>
          <w:sz w:val="18"/>
          <w:szCs w:val="18"/>
        </w:rPr>
        <w:t xml:space="preserve"> and Telluride, coordinating vendors (Adobe, BounceX) and internal teams.</w:t>
      </w:r>
    </w:p>
    <w:p>
      <w:pPr>
        <w:pStyle w:val="ListParagraph"/>
        <w:keepLines/>
        <w:numPr>
          <w:ilvl w:val="0"/>
          <w:numId w:val="2"/>
        </w:numPr>
        <w:spacing w:after="130" w:before="0" w:line="241" w:lineRule="exact"/>
      </w:pPr>
      <w:r>
        <w:rPr>
          <w:rFonts w:ascii="Arial" w:cs="Arial" w:eastAsia="Arial" w:hAnsi="Arial"/>
          <w:color w:val="1A1D21"/>
          <w:sz w:val="18"/>
          <w:szCs w:val="18"/>
        </w:rPr>
        <w:t xml:space="preserve">Delivered Tableau and Data Studio reporting; ran continuous GCP cost optimisation.</w:t>
      </w:r>
    </w:p>
    <w:p>
      <w:pPr>
        <w:keepNext/>
        <w:tabs>
          <w:tab w:val="right" w:pos="10546"/>
        </w:tabs>
        <w:spacing w:after="0" w:before="0" w:line="241" w:lineRule="exact"/>
      </w:pPr>
      <w:r>
        <w:rPr>
          <w:rFonts w:ascii="Arial" w:cs="Arial" w:eastAsia="Arial" w:hAnsi="Arial"/>
          <w:b/>
          <w:bCs/>
          <w:color w:val="0B0D0F"/>
          <w:sz w:val="21"/>
          <w:szCs w:val="21"/>
        </w:rPr>
        <w:t xml:space="preserve">Cognizant Technology Solutions</w:t>
      </w:r>
      <w:r>
        <w:t xml:space="preserve">	</w:t>
      </w:r>
      <w:r>
        <w:rPr>
          <w:rFonts w:ascii="Arial" w:cs="Arial" w:eastAsia="Arial" w:hAnsi="Arial"/>
          <w:b/>
          <w:bCs/>
          <w:color w:val="5A646C"/>
          <w:sz w:val="17"/>
          <w:szCs w:val="17"/>
        </w:rPr>
        <w:t xml:space="preserve">Nov 2010 – Feb 2018</w:t>
      </w:r>
    </w:p>
    <w:p>
      <w:pPr>
        <w:keepNext/>
        <w:spacing w:after="0" w:before="10" w:line="239" w:lineRule="exact"/>
      </w:pPr>
      <w:r>
        <w:rPr>
          <w:rFonts w:ascii="Arial" w:cs="Arial" w:eastAsia="Arial" w:hAnsi="Arial"/>
          <w:color w:val="35424A"/>
          <w:sz w:val="18"/>
          <w:szCs w:val="18"/>
        </w:rPr>
        <w:t xml:space="preserve">Senior Associate – Projects · Pune, India</w:t>
      </w:r>
    </w:p>
    <w:p>
      <w:pPr>
        <w:keepNext/>
        <w:spacing w:after="0" w:before="50" w:line="226" w:lineRule="exact"/>
      </w:pPr>
      <w:r>
        <w:rPr>
          <w:rFonts w:ascii="Arial" w:cs="Arial" w:eastAsia="Arial" w:hAnsi="Arial"/>
          <w:b/>
          <w:bCs/>
          <w:color w:val="0B5C4D"/>
          <w:sz w:val="17"/>
          <w:szCs w:val="17"/>
        </w:rPr>
        <w:t xml:space="preserve">Client: Saudi Telecom Company, Saudi Arabia </w:t>
      </w:r>
      <w:r>
        <w:rPr>
          <w:rFonts w:ascii="Arial" w:cs="Arial" w:eastAsia="Arial" w:hAnsi="Arial"/>
          <w:color w:val="6B757C"/>
          <w:sz w:val="17"/>
          <w:szCs w:val="17"/>
        </w:rPr>
        <w:t xml:space="preserve">— STC EDW (CLDM7 / CLDM12) · Onsite IT Delivery Lead · Feb 2015 – Feb 2018</w:t>
      </w:r>
    </w:p>
    <w:p>
      <w:pPr>
        <w:pStyle w:val="ListParagraph"/>
        <w:keepLines/>
        <w:numPr>
          <w:ilvl w:val="0"/>
          <w:numId w:val="2"/>
        </w:numPr>
        <w:spacing w:after="38" w:before="48" w:line="241" w:lineRule="exact"/>
      </w:pPr>
      <w:r>
        <w:rPr>
          <w:rFonts w:ascii="Arial" w:cs="Arial" w:eastAsia="Arial" w:hAnsi="Arial"/>
          <w:color w:val="1A1D21"/>
          <w:sz w:val="18"/>
          <w:szCs w:val="18"/>
        </w:rPr>
        <w:t xml:space="preserve">Led data modelling for the enterprise warehouse covering customers, accounts, subscriptions, offers and products across all channels and business units.</w:t>
      </w:r>
    </w:p>
    <w:p>
      <w:pPr>
        <w:pStyle w:val="ListParagraph"/>
        <w:keepLines/>
        <w:numPr>
          <w:ilvl w:val="0"/>
          <w:numId w:val="2"/>
        </w:numPr>
        <w:spacing w:after="38" w:before="0" w:line="241" w:lineRule="exact"/>
      </w:pPr>
      <w:r>
        <w:rPr>
          <w:rFonts w:ascii="Arial" w:cs="Arial" w:eastAsia="Arial" w:hAnsi="Arial"/>
          <w:color w:val="1A1D21"/>
          <w:sz w:val="18"/>
          <w:szCs w:val="18"/>
        </w:rPr>
        <w:t xml:space="preserve">Extended the model by </w:t>
      </w:r>
      <w:r>
        <w:rPr>
          <w:rFonts w:ascii="Arial" w:cs="Arial" w:eastAsia="Arial" w:hAnsi="Arial"/>
          <w:b/>
          <w:bCs/>
          <w:color w:val="1A1D21"/>
          <w:sz w:val="18"/>
          <w:szCs w:val="18"/>
        </w:rPr>
        <w:t xml:space="preserve">snowflaking dimensions</w:t>
      </w:r>
      <w:r>
        <w:rPr>
          <w:rFonts w:ascii="Arial" w:cs="Arial" w:eastAsia="Arial" w:hAnsi="Arial"/>
          <w:color w:val="1A1D21"/>
          <w:sz w:val="18"/>
          <w:szCs w:val="18"/>
        </w:rPr>
        <w:t xml:space="preserve"> — demographics, account status, subscription status.</w:t>
      </w:r>
    </w:p>
    <w:p>
      <w:pPr>
        <w:pStyle w:val="ListParagraph"/>
        <w:keepLines/>
        <w:numPr>
          <w:ilvl w:val="0"/>
          <w:numId w:val="2"/>
        </w:numPr>
        <w:spacing w:after="38" w:before="0" w:line="241" w:lineRule="exact"/>
      </w:pPr>
      <w:r>
        <w:rPr>
          <w:rFonts w:ascii="Arial" w:cs="Arial" w:eastAsia="Arial" w:hAnsi="Arial"/>
          <w:color w:val="1A1D21"/>
          <w:sz w:val="18"/>
          <w:szCs w:val="18"/>
        </w:rPr>
        <w:t xml:space="preserve">Built an </w:t>
      </w:r>
      <w:r>
        <w:rPr>
          <w:rFonts w:ascii="Arial" w:cs="Arial" w:eastAsia="Arial" w:hAnsi="Arial"/>
          <w:b/>
          <w:bCs/>
          <w:color w:val="1A1D21"/>
          <w:sz w:val="18"/>
          <w:szCs w:val="18"/>
        </w:rPr>
        <w:t xml:space="preserve">automation tool</w:t>
      </w:r>
      <w:r>
        <w:rPr>
          <w:rFonts w:ascii="Arial" w:cs="Arial" w:eastAsia="Arial" w:hAnsi="Arial"/>
          <w:color w:val="1A1D21"/>
          <w:sz w:val="18"/>
          <w:szCs w:val="18"/>
        </w:rPr>
        <w:t xml:space="preserve"> propagating a new key through every dimension table, Teradata utility script (FastLoad, MultiLoad, FastExport, BTEQ) and Ab-Initio object automatically.</w:t>
      </w:r>
    </w:p>
    <w:p>
      <w:pPr>
        <w:pStyle w:val="ListParagraph"/>
        <w:keepLines/>
        <w:numPr>
          <w:ilvl w:val="0"/>
          <w:numId w:val="2"/>
        </w:numPr>
        <w:spacing w:after="38" w:before="0" w:line="241" w:lineRule="exact"/>
      </w:pPr>
      <w:r>
        <w:rPr>
          <w:rFonts w:ascii="Arial" w:cs="Arial" w:eastAsia="Arial" w:hAnsi="Arial"/>
          <w:color w:val="1A1D21"/>
          <w:sz w:val="18"/>
          <w:szCs w:val="18"/>
        </w:rPr>
        <w:t xml:space="preserve">Ran a big-data POC on </w:t>
      </w:r>
      <w:r>
        <w:rPr>
          <w:rFonts w:ascii="Arial" w:cs="Arial" w:eastAsia="Arial" w:hAnsi="Arial"/>
          <w:b/>
          <w:bCs/>
          <w:color w:val="1A1D21"/>
          <w:sz w:val="18"/>
          <w:szCs w:val="18"/>
        </w:rPr>
        <w:t xml:space="preserve">Apache Hive and HDFS</w:t>
      </w:r>
      <w:r>
        <w:rPr>
          <w:rFonts w:ascii="Arial" w:cs="Arial" w:eastAsia="Arial" w:hAnsi="Arial"/>
          <w:color w:val="1A1D21"/>
          <w:sz w:val="18"/>
          <w:szCs w:val="18"/>
        </w:rPr>
        <w:t xml:space="preserve"> for CDR ingestion.</w:t>
      </w:r>
    </w:p>
    <w:p>
      <w:pPr>
        <w:keepNext/>
        <w:spacing w:after="0" w:before="12" w:line="226" w:lineRule="exact"/>
      </w:pPr>
      <w:r>
        <w:rPr>
          <w:rFonts w:ascii="Arial" w:cs="Arial" w:eastAsia="Arial" w:hAnsi="Arial"/>
          <w:b/>
          <w:bCs/>
          <w:color w:val="0B5C4D"/>
          <w:sz w:val="17"/>
          <w:szCs w:val="17"/>
        </w:rPr>
        <w:t xml:space="preserve">Client: Barclays, United Kingdom </w:t>
      </w:r>
      <w:r>
        <w:rPr>
          <w:rFonts w:ascii="Arial" w:cs="Arial" w:eastAsia="Arial" w:hAnsi="Arial"/>
          <w:color w:val="6B757C"/>
          <w:sz w:val="17"/>
          <w:szCs w:val="17"/>
        </w:rPr>
        <w:t xml:space="preserve">— Emerging Markets DW &amp; One Africa Program · Team Lead · Nov 2010 – Feb 2015</w:t>
      </w:r>
    </w:p>
    <w:p>
      <w:pPr>
        <w:pStyle w:val="ListParagraph"/>
        <w:keepLines/>
        <w:numPr>
          <w:ilvl w:val="0"/>
          <w:numId w:val="2"/>
        </w:numPr>
        <w:spacing w:after="38" w:before="48" w:line="241" w:lineRule="exact"/>
      </w:pPr>
      <w:r>
        <w:rPr>
          <w:rFonts w:ascii="Arial" w:cs="Arial" w:eastAsia="Arial" w:hAnsi="Arial"/>
          <w:color w:val="1A1D21"/>
          <w:sz w:val="18"/>
          <w:szCs w:val="18"/>
        </w:rPr>
        <w:t xml:space="preserve">Built staging from core banking (FLEX), ATM/POS (SPARROW) and online transaction sources, then the DataMarts above them.</w:t>
      </w:r>
    </w:p>
    <w:p>
      <w:pPr>
        <w:pStyle w:val="ListParagraph"/>
        <w:keepLines/>
        <w:numPr>
          <w:ilvl w:val="0"/>
          <w:numId w:val="2"/>
        </w:numPr>
        <w:spacing w:after="38" w:before="0" w:line="241" w:lineRule="exact"/>
      </w:pPr>
      <w:r>
        <w:rPr>
          <w:rFonts w:ascii="Arial" w:cs="Arial" w:eastAsia="Arial" w:hAnsi="Arial"/>
          <w:b/>
          <w:bCs/>
          <w:color w:val="1A1D21"/>
          <w:sz w:val="18"/>
          <w:szCs w:val="18"/>
        </w:rPr>
        <w:t xml:space="preserve">One Africa:</w:t>
      </w:r>
      <w:r>
        <w:rPr>
          <w:rFonts w:ascii="Arial" w:cs="Arial" w:eastAsia="Arial" w:hAnsi="Arial"/>
          <w:color w:val="1A1D21"/>
          <w:sz w:val="18"/>
          <w:szCs w:val="18"/>
        </w:rPr>
        <w:t xml:space="preserve"> unified emerging-market data across African countries into a single source of truth, letting one DataMart span new countries with no rework.</w:t>
      </w:r>
    </w:p>
    <w:p>
      <w:pPr>
        <w:pStyle w:val="ListParagraph"/>
        <w:keepLines/>
        <w:numPr>
          <w:ilvl w:val="0"/>
          <w:numId w:val="2"/>
        </w:numPr>
        <w:spacing w:after="38" w:before="0" w:line="241" w:lineRule="exact"/>
      </w:pPr>
      <w:r>
        <w:rPr>
          <w:rFonts w:ascii="Arial" w:cs="Arial" w:eastAsia="Arial" w:hAnsi="Arial"/>
          <w:color w:val="1A1D21"/>
          <w:sz w:val="18"/>
          <w:szCs w:val="18"/>
        </w:rPr>
        <w:t xml:space="preserve">Designed the </w:t>
      </w:r>
      <w:r>
        <w:rPr>
          <w:rFonts w:ascii="Arial" w:cs="Arial" w:eastAsia="Arial" w:hAnsi="Arial"/>
          <w:b/>
          <w:bCs/>
          <w:color w:val="1A1D21"/>
          <w:sz w:val="18"/>
          <w:szCs w:val="18"/>
        </w:rPr>
        <w:t xml:space="preserve">logical and physical data models</w:t>
      </w:r>
      <w:r>
        <w:rPr>
          <w:rFonts w:ascii="Arial" w:cs="Arial" w:eastAsia="Arial" w:hAnsi="Arial"/>
          <w:color w:val="1A1D21"/>
          <w:sz w:val="18"/>
          <w:szCs w:val="18"/>
        </w:rPr>
        <w:t xml:space="preserve">; built reusable automation — TWS object-creation tool, Teradata acquisition code generator, Unix deployment tooling.</w:t>
      </w:r>
    </w:p>
    <w:p>
      <w:pPr>
        <w:pStyle w:val="ListParagraph"/>
        <w:keepLines/>
        <w:numPr>
          <w:ilvl w:val="0"/>
          <w:numId w:val="2"/>
        </w:numPr>
        <w:spacing w:after="130" w:before="0" w:line="241" w:lineRule="exact"/>
      </w:pPr>
      <w:r>
        <w:rPr>
          <w:rFonts w:ascii="Arial" w:cs="Arial" w:eastAsia="Arial" w:hAnsi="Arial"/>
          <w:color w:val="1A1D21"/>
          <w:sz w:val="18"/>
          <w:szCs w:val="18"/>
        </w:rPr>
        <w:t xml:space="preserve">Implemented archiving and purging against the active warehouse, tiering history to </w:t>
      </w:r>
      <w:r>
        <w:rPr>
          <w:rFonts w:ascii="Arial" w:cs="Arial" w:eastAsia="Arial" w:hAnsi="Arial"/>
          <w:b/>
          <w:bCs/>
          <w:color w:val="1A1D21"/>
          <w:sz w:val="18"/>
          <w:szCs w:val="18"/>
        </w:rPr>
        <w:t xml:space="preserve">Greenplum</w:t>
      </w:r>
      <w:r>
        <w:rPr>
          <w:rFonts w:ascii="Arial" w:cs="Arial" w:eastAsia="Arial" w:hAnsi="Arial"/>
          <w:color w:val="1A1D21"/>
          <w:sz w:val="18"/>
          <w:szCs w:val="18"/>
        </w:rPr>
        <w:t xml:space="preserve">.</w:t>
      </w:r>
    </w:p>
    <w:p>
      <w:pPr>
        <w:keepNext/>
        <w:tabs>
          <w:tab w:val="right" w:pos="10546"/>
        </w:tabs>
        <w:spacing w:after="0" w:before="0" w:line="241" w:lineRule="exact"/>
      </w:pPr>
      <w:r>
        <w:rPr>
          <w:rFonts w:ascii="Arial" w:cs="Arial" w:eastAsia="Arial" w:hAnsi="Arial"/>
          <w:b/>
          <w:bCs/>
          <w:color w:val="0B0D0F"/>
          <w:sz w:val="21"/>
          <w:szCs w:val="21"/>
        </w:rPr>
        <w:t xml:space="preserve">Mahindra Satyam</w:t>
      </w:r>
      <w:r>
        <w:t xml:space="preserve">	</w:t>
      </w:r>
      <w:r>
        <w:rPr>
          <w:rFonts w:ascii="Arial" w:cs="Arial" w:eastAsia="Arial" w:hAnsi="Arial"/>
          <w:b/>
          <w:bCs/>
          <w:color w:val="5A646C"/>
          <w:sz w:val="17"/>
          <w:szCs w:val="17"/>
        </w:rPr>
        <w:t xml:space="preserve">Jan 2008 – Nov 2010</w:t>
      </w:r>
    </w:p>
    <w:p>
      <w:pPr>
        <w:keepNext/>
        <w:spacing w:after="0" w:before="10" w:line="239" w:lineRule="exact"/>
      </w:pPr>
      <w:r>
        <w:rPr>
          <w:rFonts w:ascii="Arial" w:cs="Arial" w:eastAsia="Arial" w:hAnsi="Arial"/>
          <w:color w:val="35424A"/>
          <w:sz w:val="18"/>
          <w:szCs w:val="18"/>
        </w:rPr>
        <w:t xml:space="preserve">Software Developer – S2 · Hyderabad / Bangalore, India</w:t>
      </w:r>
    </w:p>
    <w:p>
      <w:pPr>
        <w:keepNext/>
        <w:spacing w:after="0" w:before="50" w:line="226" w:lineRule="exact"/>
      </w:pPr>
      <w:r>
        <w:rPr>
          <w:rFonts w:ascii="Arial" w:cs="Arial" w:eastAsia="Arial" w:hAnsi="Arial"/>
          <w:b/>
          <w:bCs/>
          <w:color w:val="0B5C4D"/>
          <w:sz w:val="17"/>
          <w:szCs w:val="17"/>
        </w:rPr>
        <w:t xml:space="preserve">Client: Telstra Corporation, Australia </w:t>
      </w:r>
      <w:r>
        <w:rPr>
          <w:rFonts w:ascii="Arial" w:cs="Arial" w:eastAsia="Arial" w:hAnsi="Arial"/>
          <w:color w:val="6B757C"/>
          <w:sz w:val="17"/>
          <w:szCs w:val="17"/>
        </w:rPr>
        <w:t xml:space="preserve">— TR2.1 / TR2.2 EDW Data-In</w:t>
      </w:r>
    </w:p>
    <w:p>
      <w:pPr>
        <w:pStyle w:val="ListParagraph"/>
        <w:keepLines/>
        <w:numPr>
          <w:ilvl w:val="0"/>
          <w:numId w:val="2"/>
        </w:numPr>
        <w:spacing w:after="38" w:before="48" w:line="241" w:lineRule="exact"/>
      </w:pPr>
      <w:r>
        <w:rPr>
          <w:rFonts w:ascii="Arial" w:cs="Arial" w:eastAsia="Arial" w:hAnsi="Arial"/>
          <w:color w:val="1A1D21"/>
          <w:sz w:val="18"/>
          <w:szCs w:val="18"/>
        </w:rPr>
        <w:t xml:space="preserve">Built </w:t>
      </w:r>
      <w:r>
        <w:rPr>
          <w:rFonts w:ascii="Arial" w:cs="Arial" w:eastAsia="Arial" w:hAnsi="Arial"/>
          <w:b/>
          <w:bCs/>
          <w:color w:val="1A1D21"/>
          <w:sz w:val="18"/>
          <w:szCs w:val="18"/>
        </w:rPr>
        <w:t xml:space="preserve">DataStage 7.5</w:t>
      </w:r>
      <w:r>
        <w:rPr>
          <w:rFonts w:ascii="Arial" w:cs="Arial" w:eastAsia="Arial" w:hAnsi="Arial"/>
          <w:color w:val="1A1D21"/>
          <w:sz w:val="18"/>
          <w:szCs w:val="18"/>
        </w:rPr>
        <w:t xml:space="preserve"> jobs, Teradata utility scripts and Perl/Unix tooling for the retail customer warehouse — registrations, demographics, segmentation, billed and unbilled call records.</w:t>
      </w:r>
    </w:p>
    <w:p>
      <w:pPr>
        <w:pStyle w:val="ListParagraph"/>
        <w:keepLines/>
        <w:numPr>
          <w:ilvl w:val="0"/>
          <w:numId w:val="2"/>
        </w:numPr>
        <w:spacing w:after="130" w:before="0" w:line="241" w:lineRule="exact"/>
      </w:pPr>
      <w:r>
        <w:rPr>
          <w:rFonts w:ascii="Arial" w:cs="Arial" w:eastAsia="Arial" w:hAnsi="Arial"/>
          <w:color w:val="1A1D21"/>
          <w:sz w:val="18"/>
          <w:szCs w:val="18"/>
        </w:rPr>
        <w:t xml:space="preserve">Built </w:t>
      </w:r>
      <w:r>
        <w:rPr>
          <w:rFonts w:ascii="Arial" w:cs="Arial" w:eastAsia="Arial" w:hAnsi="Arial"/>
          <w:b/>
          <w:bCs/>
          <w:color w:val="1A1D21"/>
          <w:sz w:val="18"/>
          <w:szCs w:val="18"/>
        </w:rPr>
        <w:t xml:space="preserve">Informatica</w:t>
      </w:r>
      <w:r>
        <w:rPr>
          <w:rFonts w:ascii="Arial" w:cs="Arial" w:eastAsia="Arial" w:hAnsi="Arial"/>
          <w:color w:val="1A1D21"/>
          <w:sz w:val="18"/>
          <w:szCs w:val="18"/>
        </w:rPr>
        <w:t xml:space="preserve"> mappings and workflows migrating Oracle to Teradata for an enterprise data warehouse.</w:t>
      </w:r>
    </w:p>
    <w:p>
      <w:pPr>
        <w:keepNext/>
        <w:pBdr>
          <w:bottom w:val="single" w:color="0B5C4D" w:sz="6" w:space="2"/>
        </w:pBdr>
        <w:spacing w:after="80" w:before="60" w:line="215" w:lineRule="exact"/>
      </w:pPr>
      <w:r>
        <w:rPr>
          <w:rFonts w:ascii="Arial" w:cs="Arial" w:eastAsia="Arial" w:hAnsi="Arial"/>
          <w:b/>
          <w:bCs/>
          <w:color w:val="0B5C4D"/>
          <w:spacing w:val="22"/>
          <w:sz w:val="16"/>
          <w:szCs w:val="16"/>
        </w:rPr>
        <w:t xml:space="preserve">OPEN SOURCE — APPLIED AI &amp; AGENT TOOLING</w:t>
      </w:r>
    </w:p>
    <w:p>
      <w:pPr>
        <w:spacing w:after="0" w:before="0" w:line="223" w:lineRule="exact"/>
      </w:pPr>
      <w:r>
        <w:rPr>
          <w:rFonts w:ascii="Arial" w:cs="Arial" w:eastAsia="Arial" w:hAnsi="Arial"/>
          <w:i/>
          <w:iCs/>
          <w:color w:val="5A646C"/>
          <w:sz w:val="17"/>
          <w:szCs w:val="17"/>
        </w:rPr>
        <w:t xml:space="preserve">Built in my own time and shipped in public — </w:t>
      </w:r>
      <w:r>
        <w:rPr>
          <w:rFonts w:ascii="Arial" w:cs="Arial" w:eastAsia="Arial" w:hAnsi="Arial"/>
          <w:b/>
          <w:bCs/>
          <w:i/>
          <w:iCs/>
          <w:color w:val="5A646C"/>
          <w:sz w:val="17"/>
          <w:szCs w:val="17"/>
        </w:rPr>
        <w:t xml:space="preserve">github.com/kolisachint</w:t>
      </w:r>
    </w:p>
    <w:p>
      <w:pPr>
        <w:pStyle w:val="ListParagraph"/>
        <w:keepLines/>
        <w:numPr>
          <w:ilvl w:val="0"/>
          <w:numId w:val="2"/>
        </w:numPr>
        <w:spacing w:after="38" w:before="48" w:line="241" w:lineRule="exact"/>
      </w:pPr>
      <w:r>
        <w:rPr>
          <w:rFonts w:ascii="Arial" w:cs="Arial" w:eastAsia="Arial" w:hAnsi="Arial"/>
          <w:b/>
          <w:bCs/>
          <w:color w:val="1A1D21"/>
          <w:sz w:val="18"/>
          <w:szCs w:val="18"/>
        </w:rPr>
        <w:t xml:space="preserve">hoocode</w:t>
      </w:r>
      <w:r>
        <w:rPr>
          <w:rFonts w:ascii="Arial" w:cs="Arial" w:eastAsia="Arial" w:hAnsi="Arial"/>
          <w:color w:val="1A1D21"/>
          <w:sz w:val="18"/>
          <w:szCs w:val="18"/>
        </w:rPr>
        <w:t xml:space="preserve"> — deterministic terminal coding agent, </w:t>
      </w:r>
      <w:r>
        <w:rPr>
          <w:rFonts w:ascii="Arial" w:cs="Arial" w:eastAsia="Arial" w:hAnsi="Arial"/>
          <w:b/>
          <w:bCs/>
          <w:color w:val="1A1D21"/>
          <w:sz w:val="18"/>
          <w:szCs w:val="18"/>
        </w:rPr>
        <w:t xml:space="preserve">published to npm</w:t>
      </w:r>
      <w:r>
        <w:rPr>
          <w:rFonts w:ascii="Arial" w:cs="Arial" w:eastAsia="Arial" w:hAnsi="Arial"/>
          <w:color w:val="1A1D21"/>
          <w:sz w:val="18"/>
          <w:szCs w:val="18"/>
        </w:rPr>
        <w:t xml:space="preserve">. TypeScript monorepo of four packages: CLI, agent runtime with tool calling, a </w:t>
      </w:r>
      <w:r>
        <w:rPr>
          <w:rFonts w:ascii="Arial" w:cs="Arial" w:eastAsia="Arial" w:hAnsi="Arial"/>
          <w:b/>
          <w:bCs/>
          <w:color w:val="1A1D21"/>
          <w:sz w:val="18"/>
          <w:szCs w:val="18"/>
        </w:rPr>
        <w:t xml:space="preserve">unified LLM API across 25+ providers</w:t>
      </w:r>
      <w:r>
        <w:rPr>
          <w:rFonts w:ascii="Arial" w:cs="Arial" w:eastAsia="Arial" w:hAnsi="Arial"/>
          <w:color w:val="1A1D21"/>
          <w:sz w:val="18"/>
          <w:szCs w:val="18"/>
        </w:rPr>
        <w:t xml:space="preserve">, and a differential-rendering TUI. Permission gate on every edit and command, four scoped modes, MCP servers and subagents. ~470 commits since May 2026, extending a fork of the MIT-licensed </w:t>
      </w:r>
      <w:r>
        <w:rPr>
          <w:rFonts w:ascii="Arial" w:cs="Arial" w:eastAsia="Arial" w:hAnsi="Arial"/>
          <w:i/>
          <w:iCs/>
          <w:color w:val="1A1D21"/>
          <w:sz w:val="18"/>
          <w:szCs w:val="18"/>
        </w:rPr>
        <w:t xml:space="preserve">pi-mono</w:t>
      </w:r>
      <w:r>
        <w:rPr>
          <w:rFonts w:ascii="Arial" w:cs="Arial" w:eastAsia="Arial" w:hAnsi="Arial"/>
          <w:color w:val="1A1D21"/>
          <w:sz w:val="18"/>
          <w:szCs w:val="18"/>
        </w:rPr>
        <w:t xml:space="preserve">.</w:t>
      </w:r>
    </w:p>
    <w:p>
      <w:pPr>
        <w:pStyle w:val="ListParagraph"/>
        <w:keepLines/>
        <w:numPr>
          <w:ilvl w:val="0"/>
          <w:numId w:val="2"/>
        </w:numPr>
        <w:spacing w:after="38" w:before="0" w:line="241" w:lineRule="exact"/>
      </w:pPr>
      <w:r>
        <w:rPr>
          <w:rFonts w:ascii="Arial" w:cs="Arial" w:eastAsia="Arial" w:hAnsi="Arial"/>
          <w:b/>
          <w:bCs/>
          <w:color w:val="1A1D21"/>
          <w:sz w:val="18"/>
          <w:szCs w:val="18"/>
        </w:rPr>
        <w:t xml:space="preserve">embeddingsearchtools</w:t>
      </w:r>
      <w:r>
        <w:rPr>
          <w:rFonts w:ascii="Arial" w:cs="Arial" w:eastAsia="Arial" w:hAnsi="Arial"/>
          <w:color w:val="1A1D21"/>
          <w:sz w:val="18"/>
          <w:szCs w:val="18"/>
        </w:rPr>
        <w:t xml:space="preserve"> (Rust) — embedding search engine. MiniLM via </w:t>
      </w:r>
      <w:r>
        <w:rPr>
          <w:rFonts w:ascii="Arial" w:cs="Arial" w:eastAsia="Arial" w:hAnsi="Arial"/>
          <w:b/>
          <w:bCs/>
          <w:color w:val="1A1D21"/>
          <w:sz w:val="18"/>
          <w:szCs w:val="18"/>
        </w:rPr>
        <w:t xml:space="preserve">ONNX Runtime</w:t>
      </w:r>
      <w:r>
        <w:rPr>
          <w:rFonts w:ascii="Arial" w:cs="Arial" w:eastAsia="Arial" w:hAnsi="Arial"/>
          <w:color w:val="1A1D21"/>
          <w:sz w:val="18"/>
          <w:szCs w:val="18"/>
        </w:rPr>
        <w:t xml:space="preserve">, int8 weights bundled into the binary; exact and </w:t>
      </w:r>
      <w:r>
        <w:rPr>
          <w:rFonts w:ascii="Arial" w:cs="Arial" w:eastAsia="Arial" w:hAnsi="Arial"/>
          <w:b/>
          <w:bCs/>
          <w:color w:val="1A1D21"/>
          <w:sz w:val="18"/>
          <w:szCs w:val="18"/>
        </w:rPr>
        <w:t xml:space="preserve">HNSW approximate-nearest-neighbour</w:t>
      </w:r>
      <w:r>
        <w:rPr>
          <w:rFonts w:ascii="Arial" w:cs="Arial" w:eastAsia="Arial" w:hAnsi="Arial"/>
          <w:color w:val="1A1D21"/>
          <w:sz w:val="18"/>
          <w:szCs w:val="18"/>
        </w:rPr>
        <w:t xml:space="preserve"> indexes written from scratch; </w:t>
      </w:r>
      <w:r>
        <w:rPr>
          <w:rFonts w:ascii="Arial" w:cs="Arial" w:eastAsia="Arial" w:hAnsi="Arial"/>
          <w:b/>
          <w:bCs/>
          <w:color w:val="1A1D21"/>
          <w:sz w:val="18"/>
          <w:szCs w:val="18"/>
        </w:rPr>
        <w:t xml:space="preserve">BM25 fusion for hybrid retrieval</w:t>
      </w:r>
      <w:r>
        <w:rPr>
          <w:rFonts w:ascii="Arial" w:cs="Arial" w:eastAsia="Arial" w:hAnsi="Arial"/>
          <w:color w:val="1A1D21"/>
          <w:sz w:val="18"/>
          <w:szCs w:val="18"/>
        </w:rPr>
        <w:t xml:space="preserve">; mmap-friendly store behind a library API, CLI and daemon.</w:t>
      </w:r>
    </w:p>
    <w:p>
      <w:pPr>
        <w:pStyle w:val="ListParagraph"/>
        <w:keepLines/>
        <w:numPr>
          <w:ilvl w:val="0"/>
          <w:numId w:val="2"/>
        </w:numPr>
        <w:spacing w:after="38" w:before="0" w:line="241" w:lineRule="exact"/>
      </w:pPr>
      <w:r>
        <w:rPr>
          <w:rFonts w:ascii="Arial" w:cs="Arial" w:eastAsia="Arial" w:hAnsi="Arial"/>
          <w:b/>
          <w:bCs/>
          <w:color w:val="1A1D21"/>
          <w:sz w:val="18"/>
          <w:szCs w:val="18"/>
        </w:rPr>
        <w:t xml:space="preserve">voicetools</w:t>
      </w:r>
      <w:r>
        <w:rPr>
          <w:rFonts w:ascii="Arial" w:cs="Arial" w:eastAsia="Arial" w:hAnsi="Arial"/>
          <w:color w:val="1A1D21"/>
          <w:sz w:val="18"/>
          <w:szCs w:val="18"/>
        </w:rPr>
        <w:t xml:space="preserve"> (Rust) — offline speech-to-text. Mic capture through voice-activity detection into </w:t>
      </w:r>
      <w:r>
        <w:rPr>
          <w:rFonts w:ascii="Arial" w:cs="Arial" w:eastAsia="Arial" w:hAnsi="Arial"/>
          <w:b/>
          <w:bCs/>
          <w:color w:val="1A1D21"/>
          <w:sz w:val="18"/>
          <w:szCs w:val="18"/>
        </w:rPr>
        <w:t xml:space="preserve">Parakeet-TDT on ONNX Runtime</w:t>
      </w:r>
      <w:r>
        <w:rPr>
          <w:rFonts w:ascii="Arial" w:cs="Arial" w:eastAsia="Arial" w:hAnsi="Arial"/>
          <w:color w:val="1A1D21"/>
          <w:sz w:val="18"/>
          <w:szCs w:val="18"/>
        </w:rPr>
        <w:t xml:space="preserve"> (25 languages, int8), whisper.cpp fallback.</w:t>
      </w:r>
    </w:p>
    <w:p>
      <w:pPr>
        <w:pStyle w:val="ListParagraph"/>
        <w:keepLines/>
        <w:numPr>
          <w:ilvl w:val="0"/>
          <w:numId w:val="2"/>
        </w:numPr>
        <w:spacing w:after="38" w:before="0" w:line="241" w:lineRule="exact"/>
      </w:pPr>
      <w:r>
        <w:rPr>
          <w:rFonts w:ascii="Arial" w:cs="Arial" w:eastAsia="Arial" w:hAnsi="Arial"/>
          <w:b/>
          <w:bCs/>
          <w:color w:val="1A1D21"/>
          <w:sz w:val="18"/>
          <w:szCs w:val="18"/>
        </w:rPr>
        <w:t xml:space="preserve">webtools</w:t>
      </w:r>
      <w:r>
        <w:rPr>
          <w:rFonts w:ascii="Arial" w:cs="Arial" w:eastAsia="Arial" w:hAnsi="Arial"/>
          <w:color w:val="1A1D21"/>
          <w:sz w:val="18"/>
          <w:szCs w:val="18"/>
        </w:rPr>
        <w:t xml:space="preserve"> (Rust) — token-efficient fetch and search for LLM agents; reference-style URL preservation collapses links to single-token markers under a total token budget.</w:t>
      </w:r>
    </w:p>
    <w:p>
      <w:pPr>
        <w:keepNext/>
        <w:pBdr>
          <w:bottom w:val="single" w:color="0B5C4D" w:sz="6" w:space="2"/>
        </w:pBdr>
        <w:spacing w:after="80" w:before="152" w:line="215" w:lineRule="exact"/>
      </w:pPr>
      <w:r>
        <w:rPr>
          <w:rFonts w:ascii="Arial" w:cs="Arial" w:eastAsia="Arial" w:hAnsi="Arial"/>
          <w:b/>
          <w:bCs/>
          <w:color w:val="0B5C4D"/>
          <w:spacing w:val="22"/>
          <w:sz w:val="16"/>
          <w:szCs w:val="16"/>
        </w:rPr>
        <w:t xml:space="preserve">TECHNICAL</w:t>
      </w:r>
    </w:p>
    <w:tbl>
      <w:tblPr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680"/>
        <w:gridCol w:w="8866"/>
      </w:tblGrid>
      <w:tr>
        <w:trPr>
          <w:cantSplit/>
        </w:trPr>
        <w:tc>
          <w:tcPr>
            <w:tcW w:type="dxa" w:w="1680"/>
            <w:tcBorders>
              <w:top w:val="none" w:color="FFFFFF" w:sz="0"/>
              <w:left w:val="none" w:color="FFFFFF" w:sz="0"/>
              <w:bottom w:val="single" w:color="EAEEF0" w:sz="4" w:space="2"/>
              <w:right w:val="none" w:color="FFFFFF" w:sz="0"/>
            </w:tcBorders>
            <w:tcMar>
              <w:top w:type="dxa" w:w="38"/>
              <w:left w:type="dxa" w:w="0"/>
              <w:bottom w:type="dxa" w:w="38"/>
              <w:right w:type="dxa" w:w="160"/>
            </w:tcMar>
          </w:tcPr>
          <w:p>
            <w:pPr>
              <w:spacing w:after="0" w:before="0" w:line="241" w:lineRule="exact"/>
            </w:pPr>
            <w:r>
              <w:rPr>
                <w:rFonts w:ascii="Arial" w:cs="Arial" w:eastAsia="Arial" w:hAnsi="Arial"/>
                <w:b/>
                <w:bCs/>
                <w:color w:val="0B0D0F"/>
                <w:sz w:val="18"/>
                <w:szCs w:val="18"/>
              </w:rPr>
              <w:t xml:space="preserve">Cloud</w:t>
            </w:r>
          </w:p>
        </w:tc>
        <w:tc>
          <w:tcPr>
            <w:tcW w:type="dxa" w:w="8866"/>
            <w:tcBorders>
              <w:top w:val="none" w:color="FFFFFF" w:sz="0"/>
              <w:left w:val="none" w:color="FFFFFF" w:sz="0"/>
              <w:bottom w:val="single" w:color="EAEEF0" w:sz="4" w:space="2"/>
              <w:right w:val="none" w:color="FFFFFF" w:sz="0"/>
            </w:tcBorders>
            <w:tcMar>
              <w:top w:type="dxa" w:w="38"/>
              <w:left w:type="dxa" w:w="0"/>
              <w:bottom w:type="dxa" w:w="38"/>
              <w:right w:type="dxa" w:w="160"/>
            </w:tcMar>
          </w:tcPr>
          <w:p>
            <w:pPr>
              <w:spacing w:after="0" w:before="0" w:line="241" w:lineRule="exact"/>
            </w:pPr>
            <w:r>
              <w:rPr>
                <w:rFonts w:ascii="Arial" w:cs="Arial" w:eastAsia="Arial" w:hAnsi="Arial"/>
                <w:color w:val="1A1D21"/>
                <w:sz w:val="18"/>
                <w:szCs w:val="18"/>
              </w:rPr>
              <w:t xml:space="preserve">Google Cloud Platform — BigQuery, Cloud Composer, DataFlow, Pub/Sub, App Engine, Cloud Functions, DataProc, Cloud Storage, Compute Engine, Memorystore, Cloud SQL, VPC, IAM · AWS (S3)</w:t>
            </w:r>
          </w:p>
        </w:tc>
      </w:tr>
      <w:tr>
        <w:trPr>
          <w:cantSplit/>
        </w:trPr>
        <w:tc>
          <w:tcPr>
            <w:tcW w:type="dxa" w:w="1680"/>
            <w:tcBorders>
              <w:top w:val="none" w:color="FFFFFF" w:sz="0"/>
              <w:left w:val="none" w:color="FFFFFF" w:sz="0"/>
              <w:bottom w:val="single" w:color="EAEEF0" w:sz="4" w:space="2"/>
              <w:right w:val="none" w:color="FFFFFF" w:sz="0"/>
            </w:tcBorders>
            <w:tcMar>
              <w:top w:type="dxa" w:w="38"/>
              <w:left w:type="dxa" w:w="0"/>
              <w:bottom w:type="dxa" w:w="38"/>
              <w:right w:type="dxa" w:w="160"/>
            </w:tcMar>
          </w:tcPr>
          <w:p>
            <w:pPr>
              <w:spacing w:after="0" w:before="0" w:line="241" w:lineRule="exact"/>
            </w:pPr>
            <w:r>
              <w:rPr>
                <w:rFonts w:ascii="Arial" w:cs="Arial" w:eastAsia="Arial" w:hAnsi="Arial"/>
                <w:b/>
                <w:bCs/>
                <w:color w:val="0B0D0F"/>
                <w:sz w:val="18"/>
                <w:szCs w:val="18"/>
              </w:rPr>
              <w:t xml:space="preserve">Streaming</w:t>
            </w:r>
          </w:p>
        </w:tc>
        <w:tc>
          <w:tcPr>
            <w:tcW w:type="dxa" w:w="8866"/>
            <w:tcBorders>
              <w:top w:val="none" w:color="FFFFFF" w:sz="0"/>
              <w:left w:val="none" w:color="FFFFFF" w:sz="0"/>
              <w:bottom w:val="single" w:color="EAEEF0" w:sz="4" w:space="2"/>
              <w:right w:val="none" w:color="FFFFFF" w:sz="0"/>
            </w:tcBorders>
            <w:tcMar>
              <w:top w:type="dxa" w:w="38"/>
              <w:left w:type="dxa" w:w="0"/>
              <w:bottom w:type="dxa" w:w="38"/>
              <w:right w:type="dxa" w:w="160"/>
            </w:tcMar>
          </w:tcPr>
          <w:p>
            <w:pPr>
              <w:spacing w:after="0" w:before="0" w:line="241" w:lineRule="exact"/>
            </w:pPr>
            <w:r>
              <w:rPr>
                <w:rFonts w:ascii="Arial" w:cs="Arial" w:eastAsia="Arial" w:hAnsi="Arial"/>
                <w:color w:val="1A1D21"/>
                <w:sz w:val="18"/>
                <w:szCs w:val="18"/>
              </w:rPr>
              <w:t xml:space="preserve">Confluent Kafka, Pub/Sub, Apache Beam, event-driven architecture</w:t>
            </w:r>
          </w:p>
        </w:tc>
      </w:tr>
      <w:tr>
        <w:trPr>
          <w:cantSplit/>
        </w:trPr>
        <w:tc>
          <w:tcPr>
            <w:tcW w:type="dxa" w:w="1680"/>
            <w:tcBorders>
              <w:top w:val="none" w:color="FFFFFF" w:sz="0"/>
              <w:left w:val="none" w:color="FFFFFF" w:sz="0"/>
              <w:bottom w:val="single" w:color="EAEEF0" w:sz="4" w:space="2"/>
              <w:right w:val="none" w:color="FFFFFF" w:sz="0"/>
            </w:tcBorders>
            <w:tcMar>
              <w:top w:type="dxa" w:w="38"/>
              <w:left w:type="dxa" w:w="0"/>
              <w:bottom w:type="dxa" w:w="38"/>
              <w:right w:type="dxa" w:w="160"/>
            </w:tcMar>
          </w:tcPr>
          <w:p>
            <w:pPr>
              <w:spacing w:after="0" w:before="0" w:line="241" w:lineRule="exact"/>
            </w:pPr>
            <w:r>
              <w:rPr>
                <w:rFonts w:ascii="Arial" w:cs="Arial" w:eastAsia="Arial" w:hAnsi="Arial"/>
                <w:b/>
                <w:bCs/>
                <w:color w:val="0B0D0F"/>
                <w:sz w:val="18"/>
                <w:szCs w:val="18"/>
              </w:rPr>
              <w:t xml:space="preserve">Orchestration</w:t>
            </w:r>
          </w:p>
        </w:tc>
        <w:tc>
          <w:tcPr>
            <w:tcW w:type="dxa" w:w="8866"/>
            <w:tcBorders>
              <w:top w:val="none" w:color="FFFFFF" w:sz="0"/>
              <w:left w:val="none" w:color="FFFFFF" w:sz="0"/>
              <w:bottom w:val="single" w:color="EAEEF0" w:sz="4" w:space="2"/>
              <w:right w:val="none" w:color="FFFFFF" w:sz="0"/>
            </w:tcBorders>
            <w:tcMar>
              <w:top w:type="dxa" w:w="38"/>
              <w:left w:type="dxa" w:w="0"/>
              <w:bottom w:type="dxa" w:w="38"/>
              <w:right w:type="dxa" w:w="160"/>
            </w:tcMar>
          </w:tcPr>
          <w:p>
            <w:pPr>
              <w:spacing w:after="0" w:before="0" w:line="241" w:lineRule="exact"/>
            </w:pPr>
            <w:r>
              <w:rPr>
                <w:rFonts w:ascii="Arial" w:cs="Arial" w:eastAsia="Arial" w:hAnsi="Arial"/>
                <w:color w:val="1A1D21"/>
                <w:sz w:val="18"/>
                <w:szCs w:val="18"/>
              </w:rPr>
              <w:t xml:space="preserve">Cloud Composer / Apache Airflow, IBM Tivoli Workload Scheduler, Control-M</w:t>
            </w:r>
          </w:p>
        </w:tc>
      </w:tr>
      <w:tr>
        <w:trPr>
          <w:cantSplit/>
        </w:trPr>
        <w:tc>
          <w:tcPr>
            <w:tcW w:type="dxa" w:w="1680"/>
            <w:tcBorders>
              <w:top w:val="none" w:color="FFFFFF" w:sz="0"/>
              <w:left w:val="none" w:color="FFFFFF" w:sz="0"/>
              <w:bottom w:val="single" w:color="EAEEF0" w:sz="4" w:space="2"/>
              <w:right w:val="none" w:color="FFFFFF" w:sz="0"/>
            </w:tcBorders>
            <w:tcMar>
              <w:top w:type="dxa" w:w="38"/>
              <w:left w:type="dxa" w:w="0"/>
              <w:bottom w:type="dxa" w:w="38"/>
              <w:right w:type="dxa" w:w="160"/>
            </w:tcMar>
          </w:tcPr>
          <w:p>
            <w:pPr>
              <w:spacing w:after="0" w:before="0" w:line="241" w:lineRule="exact"/>
            </w:pPr>
            <w:r>
              <w:rPr>
                <w:rFonts w:ascii="Arial" w:cs="Arial" w:eastAsia="Arial" w:hAnsi="Arial"/>
                <w:b/>
                <w:bCs/>
                <w:color w:val="0B0D0F"/>
                <w:sz w:val="18"/>
                <w:szCs w:val="18"/>
              </w:rPr>
              <w:t xml:space="preserve">Transformation</w:t>
            </w:r>
          </w:p>
        </w:tc>
        <w:tc>
          <w:tcPr>
            <w:tcW w:type="dxa" w:w="8866"/>
            <w:tcBorders>
              <w:top w:val="none" w:color="FFFFFF" w:sz="0"/>
              <w:left w:val="none" w:color="FFFFFF" w:sz="0"/>
              <w:bottom w:val="single" w:color="EAEEF0" w:sz="4" w:space="2"/>
              <w:right w:val="none" w:color="FFFFFF" w:sz="0"/>
            </w:tcBorders>
            <w:tcMar>
              <w:top w:type="dxa" w:w="38"/>
              <w:left w:type="dxa" w:w="0"/>
              <w:bottom w:type="dxa" w:w="38"/>
              <w:right w:type="dxa" w:w="160"/>
            </w:tcMar>
          </w:tcPr>
          <w:p>
            <w:pPr>
              <w:spacing w:after="0" w:before="0" w:line="241" w:lineRule="exact"/>
            </w:pPr>
            <w:r>
              <w:rPr>
                <w:rFonts w:ascii="Arial" w:cs="Arial" w:eastAsia="Arial" w:hAnsi="Arial"/>
                <w:color w:val="1A1D21"/>
                <w:sz w:val="18"/>
                <w:szCs w:val="18"/>
              </w:rPr>
              <w:t xml:space="preserve">dbt, Python, SQL, Apache Spark, Informatica, IBM DataStage, Ab-Initio</w:t>
            </w:r>
          </w:p>
        </w:tc>
      </w:tr>
      <w:tr>
        <w:trPr>
          <w:cantSplit/>
        </w:trPr>
        <w:tc>
          <w:tcPr>
            <w:tcW w:type="dxa" w:w="1680"/>
            <w:tcBorders>
              <w:top w:val="none" w:color="FFFFFF" w:sz="0"/>
              <w:left w:val="none" w:color="FFFFFF" w:sz="0"/>
              <w:bottom w:val="single" w:color="EAEEF0" w:sz="4" w:space="2"/>
              <w:right w:val="none" w:color="FFFFFF" w:sz="0"/>
            </w:tcBorders>
            <w:tcMar>
              <w:top w:type="dxa" w:w="38"/>
              <w:left w:type="dxa" w:w="0"/>
              <w:bottom w:type="dxa" w:w="38"/>
              <w:right w:type="dxa" w:w="160"/>
            </w:tcMar>
          </w:tcPr>
          <w:p>
            <w:pPr>
              <w:spacing w:after="0" w:before="0" w:line="241" w:lineRule="exact"/>
            </w:pPr>
            <w:r>
              <w:rPr>
                <w:rFonts w:ascii="Arial" w:cs="Arial" w:eastAsia="Arial" w:hAnsi="Arial"/>
                <w:b/>
                <w:bCs/>
                <w:color w:val="0B0D0F"/>
                <w:sz w:val="18"/>
                <w:szCs w:val="18"/>
              </w:rPr>
              <w:t xml:space="preserve">Infrastructure</w:t>
            </w:r>
          </w:p>
        </w:tc>
        <w:tc>
          <w:tcPr>
            <w:tcW w:type="dxa" w:w="8866"/>
            <w:tcBorders>
              <w:top w:val="none" w:color="FFFFFF" w:sz="0"/>
              <w:left w:val="none" w:color="FFFFFF" w:sz="0"/>
              <w:bottom w:val="single" w:color="EAEEF0" w:sz="4" w:space="2"/>
              <w:right w:val="none" w:color="FFFFFF" w:sz="0"/>
            </w:tcBorders>
            <w:tcMar>
              <w:top w:type="dxa" w:w="38"/>
              <w:left w:type="dxa" w:w="0"/>
              <w:bottom w:type="dxa" w:w="38"/>
              <w:right w:type="dxa" w:w="160"/>
            </w:tcMar>
          </w:tcPr>
          <w:p>
            <w:pPr>
              <w:spacing w:after="0" w:before="0" w:line="241" w:lineRule="exact"/>
            </w:pPr>
            <w:r>
              <w:rPr>
                <w:rFonts w:ascii="Arial" w:cs="Arial" w:eastAsia="Arial" w:hAnsi="Arial"/>
                <w:color w:val="1A1D21"/>
                <w:sz w:val="18"/>
                <w:szCs w:val="18"/>
              </w:rPr>
              <w:t xml:space="preserve">Terraform, Git, CI/CD, containerisation</w:t>
            </w:r>
          </w:p>
        </w:tc>
      </w:tr>
      <w:tr>
        <w:trPr>
          <w:cantSplit/>
        </w:trPr>
        <w:tc>
          <w:tcPr>
            <w:tcW w:type="dxa" w:w="1680"/>
            <w:tcBorders>
              <w:top w:val="none" w:color="FFFFFF" w:sz="0"/>
              <w:left w:val="none" w:color="FFFFFF" w:sz="0"/>
              <w:bottom w:val="single" w:color="EAEEF0" w:sz="4" w:space="2"/>
              <w:right w:val="none" w:color="FFFFFF" w:sz="0"/>
            </w:tcBorders>
            <w:tcMar>
              <w:top w:type="dxa" w:w="38"/>
              <w:left w:type="dxa" w:w="0"/>
              <w:bottom w:type="dxa" w:w="38"/>
              <w:right w:type="dxa" w:w="160"/>
            </w:tcMar>
          </w:tcPr>
          <w:p>
            <w:pPr>
              <w:spacing w:after="0" w:before="0" w:line="241" w:lineRule="exact"/>
            </w:pPr>
            <w:r>
              <w:rPr>
                <w:rFonts w:ascii="Arial" w:cs="Arial" w:eastAsia="Arial" w:hAnsi="Arial"/>
                <w:b/>
                <w:bCs/>
                <w:color w:val="0B0D0F"/>
                <w:sz w:val="18"/>
                <w:szCs w:val="18"/>
              </w:rPr>
              <w:t xml:space="preserve">Architecture</w:t>
            </w:r>
          </w:p>
        </w:tc>
        <w:tc>
          <w:tcPr>
            <w:tcW w:type="dxa" w:w="8866"/>
            <w:tcBorders>
              <w:top w:val="none" w:color="FFFFFF" w:sz="0"/>
              <w:left w:val="none" w:color="FFFFFF" w:sz="0"/>
              <w:bottom w:val="single" w:color="EAEEF0" w:sz="4" w:space="2"/>
              <w:right w:val="none" w:color="FFFFFF" w:sz="0"/>
            </w:tcBorders>
            <w:tcMar>
              <w:top w:type="dxa" w:w="38"/>
              <w:left w:type="dxa" w:w="0"/>
              <w:bottom w:type="dxa" w:w="38"/>
              <w:right w:type="dxa" w:w="160"/>
            </w:tcMar>
          </w:tcPr>
          <w:p>
            <w:pPr>
              <w:spacing w:after="0" w:before="0" w:line="241" w:lineRule="exact"/>
            </w:pPr>
            <w:r>
              <w:rPr>
                <w:rFonts w:ascii="Arial" w:cs="Arial" w:eastAsia="Arial" w:hAnsi="Arial"/>
                <w:color w:val="1A1D21"/>
                <w:sz w:val="18"/>
                <w:szCs w:val="18"/>
              </w:rPr>
              <w:t xml:space="preserve">Microservices, API gateways, service discovery, load balancing, multicloud and hybrid patterns, data governance, cost optimisation</w:t>
            </w:r>
          </w:p>
        </w:tc>
      </w:tr>
      <w:tr>
        <w:trPr>
          <w:cantSplit/>
        </w:trPr>
        <w:tc>
          <w:tcPr>
            <w:tcW w:type="dxa" w:w="1680"/>
            <w:tcBorders>
              <w:top w:val="none" w:color="FFFFFF" w:sz="0"/>
              <w:left w:val="none" w:color="FFFFFF" w:sz="0"/>
              <w:bottom w:val="single" w:color="EAEEF0" w:sz="4" w:space="2"/>
              <w:right w:val="none" w:color="FFFFFF" w:sz="0"/>
            </w:tcBorders>
            <w:tcMar>
              <w:top w:type="dxa" w:w="38"/>
              <w:left w:type="dxa" w:w="0"/>
              <w:bottom w:type="dxa" w:w="38"/>
              <w:right w:type="dxa" w:w="160"/>
            </w:tcMar>
          </w:tcPr>
          <w:p>
            <w:pPr>
              <w:spacing w:after="0" w:before="0" w:line="241" w:lineRule="exact"/>
            </w:pPr>
            <w:r>
              <w:rPr>
                <w:rFonts w:ascii="Arial" w:cs="Arial" w:eastAsia="Arial" w:hAnsi="Arial"/>
                <w:b/>
                <w:bCs/>
                <w:color w:val="0B0D0F"/>
                <w:sz w:val="18"/>
                <w:szCs w:val="18"/>
              </w:rPr>
              <w:t xml:space="preserve">Databases</w:t>
            </w:r>
          </w:p>
        </w:tc>
        <w:tc>
          <w:tcPr>
            <w:tcW w:type="dxa" w:w="8866"/>
            <w:tcBorders>
              <w:top w:val="none" w:color="FFFFFF" w:sz="0"/>
              <w:left w:val="none" w:color="FFFFFF" w:sz="0"/>
              <w:bottom w:val="single" w:color="EAEEF0" w:sz="4" w:space="2"/>
              <w:right w:val="none" w:color="FFFFFF" w:sz="0"/>
            </w:tcBorders>
            <w:tcMar>
              <w:top w:type="dxa" w:w="38"/>
              <w:left w:type="dxa" w:w="0"/>
              <w:bottom w:type="dxa" w:w="38"/>
              <w:right w:type="dxa" w:w="160"/>
            </w:tcMar>
          </w:tcPr>
          <w:p>
            <w:pPr>
              <w:spacing w:after="0" w:before="0" w:line="241" w:lineRule="exact"/>
            </w:pPr>
            <w:r>
              <w:rPr>
                <w:rFonts w:ascii="Arial" w:cs="Arial" w:eastAsia="Arial" w:hAnsi="Arial"/>
                <w:color w:val="1A1D21"/>
                <w:sz w:val="18"/>
                <w:szCs w:val="18"/>
              </w:rPr>
              <w:t xml:space="preserve">BigQuery, Teradata, Oracle, Greenplum</w:t>
            </w:r>
          </w:p>
        </w:tc>
      </w:tr>
      <w:tr>
        <w:trPr>
          <w:cantSplit/>
        </w:trPr>
        <w:tc>
          <w:tcPr>
            <w:tcW w:type="dxa" w:w="1680"/>
            <w:tcBorders>
              <w:top w:val="none" w:color="FFFFFF" w:sz="0"/>
              <w:left w:val="none" w:color="FFFFFF" w:sz="0"/>
              <w:bottom w:val="single" w:color="EAEEF0" w:sz="4" w:space="2"/>
              <w:right w:val="none" w:color="FFFFFF" w:sz="0"/>
            </w:tcBorders>
            <w:tcMar>
              <w:top w:type="dxa" w:w="38"/>
              <w:left w:type="dxa" w:w="0"/>
              <w:bottom w:type="dxa" w:w="38"/>
              <w:right w:type="dxa" w:w="160"/>
            </w:tcMar>
          </w:tcPr>
          <w:p>
            <w:pPr>
              <w:spacing w:after="0" w:before="0" w:line="241" w:lineRule="exact"/>
            </w:pPr>
            <w:r>
              <w:rPr>
                <w:rFonts w:ascii="Arial" w:cs="Arial" w:eastAsia="Arial" w:hAnsi="Arial"/>
                <w:b/>
                <w:bCs/>
                <w:color w:val="0B0D0F"/>
                <w:sz w:val="18"/>
                <w:szCs w:val="18"/>
              </w:rPr>
              <w:t xml:space="preserve">BI</w:t>
            </w:r>
          </w:p>
        </w:tc>
        <w:tc>
          <w:tcPr>
            <w:tcW w:type="dxa" w:w="8866"/>
            <w:tcBorders>
              <w:top w:val="none" w:color="FFFFFF" w:sz="0"/>
              <w:left w:val="none" w:color="FFFFFF" w:sz="0"/>
              <w:bottom w:val="single" w:color="EAEEF0" w:sz="4" w:space="2"/>
              <w:right w:val="none" w:color="FFFFFF" w:sz="0"/>
            </w:tcBorders>
            <w:tcMar>
              <w:top w:type="dxa" w:w="38"/>
              <w:left w:type="dxa" w:w="0"/>
              <w:bottom w:type="dxa" w:w="38"/>
              <w:right w:type="dxa" w:w="160"/>
            </w:tcMar>
          </w:tcPr>
          <w:p>
            <w:pPr>
              <w:spacing w:after="0" w:before="0" w:line="241" w:lineRule="exact"/>
            </w:pPr>
            <w:r>
              <w:rPr>
                <w:rFonts w:ascii="Arial" w:cs="Arial" w:eastAsia="Arial" w:hAnsi="Arial"/>
                <w:color w:val="1A1D21"/>
                <w:sz w:val="18"/>
                <w:szCs w:val="18"/>
              </w:rPr>
              <w:t xml:space="preserve">Tableau, Looker Studio, Cognos</w:t>
            </w:r>
          </w:p>
        </w:tc>
      </w:tr>
      <w:tr>
        <w:trPr>
          <w:cantSplit/>
        </w:trPr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8"/>
              <w:left w:type="dxa" w:w="0"/>
              <w:bottom w:type="dxa" w:w="38"/>
              <w:right w:type="dxa" w:w="160"/>
            </w:tcMar>
          </w:tcPr>
          <w:p>
            <w:pPr>
              <w:spacing w:after="0" w:before="0" w:line="241" w:lineRule="exact"/>
            </w:pPr>
            <w:r>
              <w:rPr>
                <w:rFonts w:ascii="Arial" w:cs="Arial" w:eastAsia="Arial" w:hAnsi="Arial"/>
                <w:b/>
                <w:bCs/>
                <w:color w:val="0B0D0F"/>
                <w:sz w:val="18"/>
                <w:szCs w:val="18"/>
              </w:rPr>
              <w:t xml:space="preserve">Domains</w:t>
            </w:r>
          </w:p>
        </w:tc>
        <w:tc>
          <w:tcPr>
            <w:tcW w:type="dxa" w:w="8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8"/>
              <w:left w:type="dxa" w:w="0"/>
              <w:bottom w:type="dxa" w:w="38"/>
              <w:right w:type="dxa" w:w="160"/>
            </w:tcMar>
          </w:tcPr>
          <w:p>
            <w:pPr>
              <w:spacing w:after="0" w:before="0" w:line="241" w:lineRule="exact"/>
            </w:pPr>
            <w:r>
              <w:rPr>
                <w:rFonts w:ascii="Arial" w:cs="Arial" w:eastAsia="Arial" w:hAnsi="Arial"/>
                <w:color w:val="1A1D21"/>
                <w:sz w:val="18"/>
                <w:szCs w:val="18"/>
              </w:rPr>
              <w:t xml:space="preserve">Banking, cards &amp; payments · Retail · Telecom</w:t>
            </w:r>
          </w:p>
        </w:tc>
      </w:tr>
    </w:tbl>
    <w:p>
      <w:pPr>
        <w:keepNext/>
        <w:pBdr>
          <w:bottom w:val="single" w:color="0B5C4D" w:sz="6" w:space="2"/>
        </w:pBdr>
        <w:spacing w:after="80" w:before="190" w:line="215" w:lineRule="exact"/>
      </w:pPr>
      <w:r>
        <w:rPr>
          <w:rFonts w:ascii="Arial" w:cs="Arial" w:eastAsia="Arial" w:hAnsi="Arial"/>
          <w:b/>
          <w:bCs/>
          <w:color w:val="0B5C4D"/>
          <w:spacing w:val="22"/>
          <w:sz w:val="16"/>
          <w:szCs w:val="16"/>
        </w:rPr>
        <w:t xml:space="preserve">EDUCATION &amp; CERTIFICATIONS</w:t>
      </w:r>
    </w:p>
    <w:p>
      <w:pPr>
        <w:spacing w:after="50" w:before="0" w:line="241" w:lineRule="exact"/>
      </w:pPr>
      <w:r>
        <w:rPr>
          <w:rFonts w:ascii="Arial" w:cs="Arial" w:eastAsia="Arial" w:hAnsi="Arial"/>
          <w:b/>
          <w:bCs/>
          <w:color w:val="0B0D0F"/>
          <w:sz w:val="18"/>
          <w:szCs w:val="18"/>
        </w:rPr>
        <w:t xml:space="preserve">BE, Computer Science and Engineering</w:t>
      </w:r>
      <w:r>
        <w:rPr>
          <w:rFonts w:ascii="Arial" w:cs="Arial" w:eastAsia="Arial" w:hAnsi="Arial"/>
          <w:color w:val="1A1D21"/>
          <w:sz w:val="18"/>
          <w:szCs w:val="18"/>
        </w:rPr>
        <w:t xml:space="preserve"> — Walchand College of Engineering, Sangli (Shivaji University), 2003–2007</w:t>
      </w:r>
    </w:p>
    <w:p>
      <w:pPr>
        <w:pStyle w:val="ListParagraph"/>
        <w:keepLines/>
        <w:numPr>
          <w:ilvl w:val="0"/>
          <w:numId w:val="2"/>
        </w:numPr>
        <w:spacing w:after="32" w:before="0" w:line="241" w:lineRule="exact"/>
      </w:pPr>
      <w:r>
        <w:rPr>
          <w:rFonts w:ascii="Arial" w:cs="Arial" w:eastAsia="Arial" w:hAnsi="Arial"/>
          <w:b/>
          <w:bCs/>
          <w:color w:val="1A1D21"/>
          <w:sz w:val="18"/>
          <w:szCs w:val="18"/>
        </w:rPr>
        <w:t xml:space="preserve">Google Cloud Certified — Professional Data Engineer</w:t>
      </w:r>
    </w:p>
    <w:p>
      <w:pPr>
        <w:pStyle w:val="ListParagraph"/>
        <w:keepLines/>
        <w:numPr>
          <w:ilvl w:val="0"/>
          <w:numId w:val="2"/>
        </w:numPr>
        <w:spacing w:after="32" w:before="0" w:line="241" w:lineRule="exact"/>
      </w:pPr>
      <w:r>
        <w:rPr>
          <w:rFonts w:ascii="Arial" w:cs="Arial" w:eastAsia="Arial" w:hAnsi="Arial"/>
          <w:color w:val="1A1D21"/>
          <w:sz w:val="18"/>
          <w:szCs w:val="18"/>
        </w:rPr>
        <w:t xml:space="preserve">Google Cloud Professional Cloud Architect — </w:t>
      </w:r>
      <w:r>
        <w:rPr>
          <w:rFonts w:ascii="Arial" w:cs="Arial" w:eastAsia="Arial" w:hAnsi="Arial"/>
          <w:i/>
          <w:iCs/>
          <w:color w:val="1A1D21"/>
          <w:sz w:val="18"/>
          <w:szCs w:val="18"/>
        </w:rPr>
        <w:t xml:space="preserve">in progress</w:t>
      </w:r>
    </w:p>
    <w:p>
      <w:pPr>
        <w:pStyle w:val="ListParagraph"/>
        <w:keepLines/>
        <w:numPr>
          <w:ilvl w:val="0"/>
          <w:numId w:val="2"/>
        </w:numPr>
        <w:spacing w:after="32" w:before="0" w:line="241" w:lineRule="exact"/>
      </w:pPr>
      <w:r>
        <w:rPr>
          <w:rFonts w:ascii="Arial" w:cs="Arial" w:eastAsia="Arial" w:hAnsi="Arial"/>
          <w:color w:val="1A1D21"/>
          <w:sz w:val="18"/>
          <w:szCs w:val="18"/>
        </w:rPr>
        <w:t xml:space="preserve">Data Engineering, Big Data and Machine Learning on GCP — Coursera specialisation</w:t>
      </w:r>
    </w:p>
    <w:p>
      <w:pPr>
        <w:pStyle w:val="ListParagraph"/>
        <w:keepLines/>
        <w:numPr>
          <w:ilvl w:val="0"/>
          <w:numId w:val="2"/>
        </w:numPr>
        <w:spacing w:after="32" w:before="0" w:line="241" w:lineRule="exact"/>
      </w:pPr>
      <w:r>
        <w:rPr>
          <w:rFonts w:ascii="Arial" w:cs="Arial" w:eastAsia="Arial" w:hAnsi="Arial"/>
          <w:color w:val="1A1D21"/>
          <w:sz w:val="18"/>
          <w:szCs w:val="18"/>
        </w:rPr>
        <w:t xml:space="preserve">Teradata Basics V2R5 · Teradata SQL V2R5 · Introduction to Oracle9i: SQL</w:t>
      </w:r>
    </w:p>
    <w:sectPr>
      <w:pgSz w:w="11906" w:h="16838" w:orient="portrait"/>
      <w:pgMar w:top="624" w:right="680" w:bottom="624" w:left="6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40" w:hanging="160"/>
      </w:pPr>
      <w:rPr>
        <w:color w:val="9AA4A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D21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Sachin Koli — Solution Architect</dc:title>
  <dc:creator>Sachin Koli</dc:creator>
  <cp:lastModifiedBy>Un-named</cp:lastModifiedBy>
  <cp:revision>1</cp:revision>
  <dcterms:created xsi:type="dcterms:W3CDTF">2026-08-30T18:53:10.959Z</dcterms:created>
  <dcterms:modified xsi:type="dcterms:W3CDTF">2026-08-30T18:53:10.959Z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