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8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38"/>
        <w:gridCol w:w="11013"/>
        <w:gridCol w:w="3387"/>
      </w:tblGrid>
      <w:tr>
        <w:tc>
          <w:tcPr>
            <w:tcW w:type="dxa" w:w="2438"/>
            <w:tcBorders>
              <w:top w:val="none" w:color="FFFFFF" w:sz="0"/>
              <w:left w:val="none" w:color="FFFFFF" w:sz="0"/>
              <w:bottom w:val="single" w:color="0A5245" w:sz="10" w:space="2"/>
              <w:right w:val="none" w:color="FFFFFF" w:sz="0"/>
            </w:tcBorders>
            <w:shd w:fill="EBEEE9" w:color="auto" w:val="clear"/>
            <w:tcMar>
              <w:top w:type="dxa" w:w="454"/>
              <w:left w:type="dxa" w:w="567"/>
              <w:bottom w:type="dxa" w:w="340"/>
              <w:right w:type="dxa" w:w="397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933450" cy="1095375"/>
                  <wp:effectExtent t="22860" r="22860" b="22860" l="2286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095375"/>
                          </a:xfrm>
                          <a:prstGeom prst="rect">
                            <a:avLst/>
                          </a:prstGeom>
                          <a:noFill/>
                          <a:ln w="11430">
                            <a:solidFill>
                              <a:srgbClr val="14181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13"/>
            <w:tcBorders>
              <w:top w:val="none" w:color="FFFFFF" w:sz="0"/>
              <w:left w:val="none" w:color="FFFFFF" w:sz="0"/>
              <w:bottom w:val="single" w:color="0A5245" w:sz="10" w:space="2"/>
              <w:right w:val="none" w:color="FFFFFF" w:sz="0"/>
            </w:tcBorders>
            <w:shd w:fill="EBEEE9" w:color="auto" w:val="clear"/>
            <w:tcMar>
              <w:top w:type="dxa" w:w="454"/>
              <w:left w:type="dxa" w:w="0"/>
              <w:bottom w:type="dxa" w:w="340"/>
              <w:right w:type="dxa" w:w="397"/>
            </w:tcMar>
          </w:tcPr>
          <w:p>
            <w:pPr>
              <w:spacing w:after="0" w:before="0" w:line="513" w:lineRule="exact"/>
            </w:pPr>
            <w:r>
              <w:rPr>
                <w:rFonts w:ascii="Arial" w:cs="Arial" w:eastAsia="Arial" w:hAnsi="Arial"/>
                <w:b/>
                <w:bCs/>
                <w:color w:val="14181D"/>
                <w:spacing w:val="-16"/>
                <w:sz w:val="54"/>
                <w:szCs w:val="54"/>
              </w:rPr>
              <w:t xml:space="preserve">Sachin </w:t>
            </w:r>
            <w:r>
              <w:rPr>
                <w:rFonts w:ascii="Arial" w:cs="Arial" w:eastAsia="Arial" w:hAnsi="Arial"/>
                <w:b/>
                <w:bCs/>
                <w:color w:val="0A5245"/>
                <w:spacing w:val="-16"/>
                <w:sz w:val="54"/>
                <w:szCs w:val="54"/>
              </w:rPr>
              <w:t xml:space="preserve">Koli</w:t>
            </w:r>
          </w:p>
          <w:p>
            <w:pPr>
              <w:spacing w:after="0" w:before="85" w:line="312" w:lineRule="exact"/>
            </w:pPr>
            <w:r>
              <w:rPr>
                <w:rFonts w:ascii="Arial" w:cs="Arial" w:eastAsia="Arial" w:hAnsi="Arial"/>
                <w:b/>
                <w:bCs/>
                <w:color w:val="14181D"/>
                <w:sz w:val="22"/>
                <w:szCs w:val="22"/>
              </w:rPr>
              <w:t xml:space="preserve">Solution Architect — Cloud Data &amp; AI Platforms</w:t>
            </w:r>
          </w:p>
          <w:p>
            <w:pPr>
              <w:spacing w:after="0" w:before="68" w:line="210" w:lineRule="exact"/>
            </w:pPr>
            <w:r>
              <w:rPr>
                <w:rFonts w:ascii="Consolas" w:cs="Consolas" w:eastAsia="Consolas" w:hAnsi="Consolas"/>
                <w:color w:val="0A5245"/>
                <w:sz w:val="15"/>
                <w:szCs w:val="15"/>
              </w:rPr>
              <w:t xml:space="preserve">Google Cloud Certified — Professional Data Engineer</w:t>
            </w:r>
            <w:r>
              <w:rPr>
                <w:rFonts w:ascii="Consolas" w:cs="Consolas" w:eastAsia="Consolas" w:hAnsi="Consolas"/>
                <w:color w:val="0A5245"/>
                <w:sz w:val="15"/>
                <w:szCs w:val="15"/>
              </w:rPr>
              <w:t xml:space="preserve">· Cloud Architect in progress</w:t>
            </w:r>
          </w:p>
        </w:tc>
        <w:tc>
          <w:tcPr>
            <w:tcW w:type="dxa" w:w="3387"/>
            <w:tcBorders>
              <w:top w:val="none" w:color="FFFFFF" w:sz="0"/>
              <w:left w:val="none" w:color="FFFFFF" w:sz="0"/>
              <w:bottom w:val="single" w:color="0A5245" w:sz="10" w:space="2"/>
              <w:right w:val="none" w:color="FFFFFF" w:sz="0"/>
            </w:tcBorders>
            <w:shd w:fill="EBEEE9" w:color="auto" w:val="clear"/>
            <w:tcMar>
              <w:top w:type="dxa" w:w="454"/>
              <w:left w:type="dxa" w:w="0"/>
              <w:bottom w:type="dxa" w:w="340"/>
              <w:right w:type="dxa" w:w="567"/>
            </w:tcMar>
          </w:tcPr>
          <w:p>
            <w:pPr>
              <w:spacing w:after="0" w:before="0" w:line="252" w:lineRule="exact"/>
              <w:jc w:val="right"/>
            </w:pPr>
            <w:r>
              <w:rPr>
                <w:rFonts w:ascii="Consolas" w:cs="Consolas" w:eastAsia="Consolas" w:hAnsi="Consolas"/>
                <w:color w:val="14181D"/>
                <w:sz w:val="14"/>
                <w:szCs w:val="14"/>
              </w:rPr>
              <w:t xml:space="preserve">Pune, India</w:t>
            </w:r>
            <w:r>
              <w:br/>
            </w:r>
            <w:r>
              <w:rPr>
                <w:rFonts w:ascii="Consolas" w:cs="Consolas" w:eastAsia="Consolas" w:hAnsi="Consolas"/>
                <w:color w:val="14181D"/>
                <w:sz w:val="14"/>
                <w:szCs w:val="14"/>
              </w:rPr>
              <w:t xml:space="preserve"> +91 95522 36200</w:t>
            </w:r>
            <w:r>
              <w:br/>
            </w:r>
            <w:r>
              <w:rPr>
                <w:rFonts w:ascii="Consolas" w:cs="Consolas" w:eastAsia="Consolas" w:hAnsi="Consolas"/>
                <w:color w:val="14181D"/>
                <w:sz w:val="14"/>
                <w:szCs w:val="14"/>
              </w:rPr>
              <w:t xml:space="preserve"> kolisachint@gmail.com</w:t>
            </w:r>
            <w:r>
              <w:br/>
            </w:r>
            <w:r>
              <w:rPr>
                <w:rFonts w:ascii="Consolas" w:cs="Consolas" w:eastAsia="Consolas" w:hAnsi="Consolas"/>
                <w:color w:val="14181D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color w:val="6C7571"/>
                <w:sz w:val="14"/>
                <w:szCs w:val="14"/>
              </w:rPr>
              <w:t xml:space="preserve">linkedin.com/in/</w:t>
            </w:r>
            <w:r>
              <w:rPr>
                <w:rFonts w:ascii="Consolas" w:cs="Consolas" w:eastAsia="Consolas" w:hAnsi="Consolas"/>
                <w:color w:val="14181D"/>
                <w:sz w:val="14"/>
                <w:szCs w:val="14"/>
              </w:rPr>
              <w:t xml:space="preserve">kolisachint</w:t>
            </w:r>
            <w:r>
              <w:br/>
            </w:r>
            <w:r>
              <w:rPr>
                <w:rFonts w:ascii="Consolas" w:cs="Consolas" w:eastAsia="Consolas" w:hAnsi="Consolas"/>
                <w:color w:val="14181D"/>
                <w:sz w:val="14"/>
                <w:szCs w:val="14"/>
              </w:rPr>
              <w:t xml:space="preserve"> </w:t>
            </w:r>
            <w:r>
              <w:rPr>
                <w:rFonts w:ascii="Consolas" w:cs="Consolas" w:eastAsia="Consolas" w:hAnsi="Consolas"/>
                <w:color w:val="6C7571"/>
                <w:sz w:val="14"/>
                <w:szCs w:val="14"/>
              </w:rPr>
              <w:t xml:space="preserve">github.com/</w:t>
            </w:r>
            <w:r>
              <w:rPr>
                <w:rFonts w:ascii="Consolas" w:cs="Consolas" w:eastAsia="Consolas" w:hAnsi="Consolas"/>
                <w:color w:val="14181D"/>
                <w:sz w:val="14"/>
                <w:szCs w:val="14"/>
              </w:rPr>
              <w:t xml:space="preserve">kolisachint </w:t>
            </w:r>
          </w:p>
        </w:tc>
      </w:tr>
    </w:tbl>
    <w:p>
      <w:pPr>
        <w:spacing w:after="0" w:before="0" w:line="1" w:lineRule="exact"/>
      </w:pPr>
      <w:r>
        <w:rPr>
          <w:sz w:val="2"/>
          <w:szCs w:val="2"/>
        </w:rPr>
        <w:t xml:space="preserve"/>
      </w:r>
    </w:p>
    <w:tbl>
      <w:tblPr>
        <w:tblW w:type="dxa" w:w="16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10"/>
        <w:gridCol w:w="4210"/>
        <w:gridCol w:w="4210"/>
        <w:gridCol w:w="4210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single" w:color="D2D7D1" w:sz="7" w:space="2"/>
              <w:right w:val="single" w:color="D2D7D1" w:sz="7" w:space="2"/>
            </w:tcBorders>
            <w:tcMar>
              <w:top w:type="dxa" w:w="249"/>
              <w:left w:type="dxa" w:w="567"/>
              <w:bottom w:type="dxa" w:w="238"/>
              <w:right w:type="dxa" w:w="567"/>
            </w:tcMar>
          </w:tcPr>
          <w:p>
            <w:pPr>
              <w:spacing w:after="0" w:before="0" w:line="340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z w:val="34"/>
                <w:szCs w:val="34"/>
              </w:rPr>
              <w:t xml:space="preserve">18 yrs</w:t>
            </w:r>
          </w:p>
          <w:p>
            <w:pPr>
              <w:spacing w:after="0" w:before="79" w:line="239" w:lineRule="exact"/>
            </w:pPr>
            <w:r>
              <w:rPr>
                <w:rFonts w:ascii="Arial" w:cs="Arial" w:eastAsia="Arial" w:hAnsi="Arial"/>
                <w:b/>
                <w:bCs/>
                <w:color w:val="14181D"/>
                <w:sz w:val="17"/>
                <w:szCs w:val="17"/>
              </w:rPr>
              <w:t xml:space="preserve">Enterprise data &amp; cloud</w:t>
            </w:r>
          </w:p>
          <w:p>
            <w:pPr>
              <w:spacing w:after="0" w:before="34" w:line="219" w:lineRule="exact"/>
            </w:pPr>
            <w:r>
              <w:rPr>
                <w:rFonts w:ascii="Arial" w:cs="Arial" w:eastAsia="Arial" w:hAnsi="Arial"/>
                <w:color w:val="6C7571"/>
                <w:sz w:val="15"/>
                <w:szCs w:val="15"/>
              </w:rPr>
              <w:t xml:space="preserve">Banking · Retail · Telecom</w:t>
            </w:r>
          </w:p>
        </w:tc>
        <w:tc>
          <w:tcPr>
            <w:tcW w:type="dxa" w:w="4210"/>
            <w:tcBorders>
              <w:top w:val="none" w:color="FFFFFF" w:sz="0"/>
              <w:left w:val="none" w:color="FFFFFF" w:sz="0"/>
              <w:bottom w:val="single" w:color="D2D7D1" w:sz="7" w:space="2"/>
              <w:right w:val="single" w:color="D2D7D1" w:sz="7" w:space="2"/>
            </w:tcBorders>
            <w:tcMar>
              <w:top w:type="dxa" w:w="249"/>
              <w:left w:type="dxa" w:w="567"/>
              <w:bottom w:type="dxa" w:w="238"/>
              <w:right w:type="dxa" w:w="567"/>
            </w:tcMar>
          </w:tcPr>
          <w:p>
            <w:pPr>
              <w:spacing w:after="0" w:before="0" w:line="340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z w:val="34"/>
                <w:szCs w:val="34"/>
              </w:rPr>
              <w:t xml:space="preserve">$600K</w:t>
            </w:r>
          </w:p>
          <w:p>
            <w:pPr>
              <w:spacing w:after="0" w:before="79" w:line="239" w:lineRule="exact"/>
            </w:pPr>
            <w:r>
              <w:rPr>
                <w:rFonts w:ascii="Arial" w:cs="Arial" w:eastAsia="Arial" w:hAnsi="Arial"/>
                <w:b/>
                <w:bCs/>
                <w:color w:val="14181D"/>
                <w:sz w:val="17"/>
                <w:szCs w:val="17"/>
              </w:rPr>
              <w:t xml:space="preserve">Annual cost removed</w:t>
            </w:r>
          </w:p>
          <w:p>
            <w:pPr>
              <w:spacing w:after="0" w:before="34" w:line="219" w:lineRule="exact"/>
            </w:pPr>
            <w:r>
              <w:rPr>
                <w:rFonts w:ascii="Arial" w:cs="Arial" w:eastAsia="Arial" w:hAnsi="Arial"/>
                <w:color w:val="6C7571"/>
                <w:sz w:val="15"/>
                <w:szCs w:val="15"/>
              </w:rPr>
              <w:t xml:space="preserve">Preference Center API on GCP, Sears</w:t>
            </w:r>
          </w:p>
        </w:tc>
        <w:tc>
          <w:tcPr>
            <w:tcW w:type="dxa" w:w="4210"/>
            <w:tcBorders>
              <w:top w:val="none" w:color="FFFFFF" w:sz="0"/>
              <w:left w:val="none" w:color="FFFFFF" w:sz="0"/>
              <w:bottom w:val="single" w:color="D2D7D1" w:sz="7" w:space="2"/>
              <w:right w:val="single" w:color="D2D7D1" w:sz="7" w:space="2"/>
            </w:tcBorders>
            <w:tcMar>
              <w:top w:type="dxa" w:w="249"/>
              <w:left w:type="dxa" w:w="567"/>
              <w:bottom w:type="dxa" w:w="238"/>
              <w:right w:type="dxa" w:w="567"/>
            </w:tcMar>
          </w:tcPr>
          <w:p>
            <w:pPr>
              <w:spacing w:after="0" w:before="0" w:line="340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z w:val="34"/>
                <w:szCs w:val="34"/>
              </w:rPr>
              <w:t xml:space="preserve">2024</w:t>
            </w:r>
          </w:p>
          <w:p>
            <w:pPr>
              <w:spacing w:after="0" w:before="79" w:line="239" w:lineRule="exact"/>
            </w:pPr>
            <w:r>
              <w:rPr>
                <w:rFonts w:ascii="Arial" w:cs="Arial" w:eastAsia="Arial" w:hAnsi="Arial"/>
                <w:b/>
                <w:bCs/>
                <w:color w:val="14181D"/>
                <w:sz w:val="17"/>
                <w:szCs w:val="17"/>
              </w:rPr>
              <w:t xml:space="preserve">Banking Tech Awards</w:t>
            </w:r>
          </w:p>
          <w:p>
            <w:pPr>
              <w:spacing w:after="0" w:before="34" w:line="219" w:lineRule="exact"/>
            </w:pPr>
            <w:r>
              <w:rPr>
                <w:rFonts w:ascii="Arial" w:cs="Arial" w:eastAsia="Arial" w:hAnsi="Arial"/>
                <w:color w:val="6C7571"/>
                <w:sz w:val="15"/>
                <w:szCs w:val="15"/>
              </w:rPr>
              <w:t xml:space="preserve">Self-serve fraud journey — architect</w:t>
            </w:r>
          </w:p>
        </w:tc>
        <w:tc>
          <w:tcPr>
            <w:tcW w:type="dxa" w:w="4210"/>
            <w:tcBorders>
              <w:top w:val="none" w:color="FFFFFF" w:sz="0"/>
              <w:left w:val="none" w:color="FFFFFF" w:sz="0"/>
              <w:bottom w:val="single" w:color="D2D7D1" w:sz="7" w:space="2"/>
              <w:right w:val="none" w:color="FFFFFF" w:sz="0"/>
            </w:tcBorders>
            <w:tcMar>
              <w:top w:type="dxa" w:w="249"/>
              <w:left w:type="dxa" w:w="567"/>
              <w:bottom w:type="dxa" w:w="238"/>
              <w:right w:type="dxa" w:w="567"/>
            </w:tcMar>
          </w:tcPr>
          <w:p>
            <w:pPr>
              <w:spacing w:after="0" w:before="0" w:line="340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z w:val="34"/>
                <w:szCs w:val="34"/>
              </w:rPr>
              <w:t xml:space="preserve">2025</w:t>
            </w:r>
          </w:p>
          <w:p>
            <w:pPr>
              <w:spacing w:after="0" w:before="79" w:line="239" w:lineRule="exact"/>
            </w:pPr>
            <w:r>
              <w:rPr>
                <w:rFonts w:ascii="Arial" w:cs="Arial" w:eastAsia="Arial" w:hAnsi="Arial"/>
                <w:b/>
                <w:bCs/>
                <w:color w:val="14181D"/>
                <w:sz w:val="17"/>
                <w:szCs w:val="17"/>
              </w:rPr>
              <w:t xml:space="preserve">Card &amp; Payments Awards</w:t>
            </w:r>
          </w:p>
          <w:p>
            <w:pPr>
              <w:spacing w:after="0" w:before="34" w:line="219" w:lineRule="exact"/>
            </w:pPr>
            <w:r>
              <w:rPr>
                <w:rFonts w:ascii="Arial" w:cs="Arial" w:eastAsia="Arial" w:hAnsi="Arial"/>
                <w:color w:val="6C7571"/>
                <w:sz w:val="15"/>
                <w:szCs w:val="15"/>
              </w:rPr>
              <w:t xml:space="preserve">Self-serve fraud journey — architect</w:t>
            </w:r>
          </w:p>
        </w:tc>
      </w:tr>
    </w:tbl>
    <w:p>
      <w:pPr>
        <w:spacing w:after="0" w:before="0" w:line="1" w:lineRule="exact"/>
      </w:pPr>
      <w:r>
        <w:rPr>
          <w:sz w:val="2"/>
          <w:szCs w:val="2"/>
        </w:rPr>
        <w:t xml:space="preserve"/>
      </w:r>
    </w:p>
    <w:tbl>
      <w:tblPr>
        <w:tblW w:type="dxa" w:w="168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87"/>
        <w:gridCol w:w="5887"/>
        <w:gridCol w:w="5063"/>
      </w:tblGrid>
      <w:tr>
        <w:tc>
          <w:tcPr>
            <w:tcW w:type="dxa" w:w="5887"/>
            <w:tcBorders>
              <w:top w:val="none" w:color="FFFFFF" w:sz="0"/>
              <w:left w:val="none" w:color="FFFFFF" w:sz="0"/>
              <w:bottom w:val="none" w:color="FFFFFF" w:sz="0"/>
              <w:right w:val="single" w:color="D2D7D1" w:sz="7" w:space="2"/>
            </w:tcBorders>
            <w:tcMar>
              <w:top w:type="dxa" w:w="369"/>
              <w:left w:type="dxa" w:w="369"/>
              <w:bottom w:type="dxa" w:w="369"/>
              <w:right w:type="dxa" w:w="369"/>
            </w:tcMar>
          </w:tcPr>
          <w:p>
            <w:pPr>
              <w:pBdr>
                <w:bottom w:val="single" w:color="0A5245" w:sz="7" w:space="4"/>
              </w:pBdr>
              <w:spacing w:after="17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pacing w:val="24"/>
                <w:sz w:val="13"/>
                <w:szCs w:val="13"/>
              </w:rPr>
              <w:t xml:space="preserve">WHAT I BUILD</w:t>
            </w:r>
          </w:p>
          <w:p>
            <w:pPr>
              <w:spacing w:after="79" w:before="0" w:line="238" w:lineRule="exact"/>
            </w:pPr>
            <w:r>
              <w:rPr>
                <w:rFonts w:ascii="Arial" w:cs="Arial" w:eastAsia="Arial" w:hAnsi="Arial"/>
                <w:b/>
                <w:bCs/>
                <w:color w:val="14181D"/>
                <w:sz w:val="20"/>
                <w:szCs w:val="20"/>
              </w:rPr>
              <w:t xml:space="preserve">Cloud Data Platform</w:t>
            </w:r>
            <w:r>
              <w:rPr>
                <w:rFonts w:ascii="Consolas" w:cs="Consolas" w:eastAsia="Consolas" w:hAnsi="Consolas"/>
                <w:i/>
                <w:iCs/>
                <w:color w:val="6C7571"/>
                <w:spacing w:val="6"/>
                <w:sz w:val="13"/>
                <w:szCs w:val="13"/>
              </w:rPr>
              <w:t xml:space="preserve">2025 —</w:t>
            </w:r>
          </w:p>
          <w:p>
            <w:pPr>
              <w:spacing w:after="0" w:before="0" w:line="248" w:lineRule="exact"/>
            </w:pP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Architect of the batch and real-time streaming platform for a </w:t>
            </w:r>
            <w:r>
              <w:rPr>
                <w:rFonts w:ascii="Arial" w:cs="Arial" w:eastAsia="Arial" w:hAnsi="Arial"/>
                <w:b/>
                <w:bCs/>
                <w:color w:val="14181D"/>
                <w:sz w:val="17"/>
                <w:szCs w:val="17"/>
              </w:rPr>
              <w:t xml:space="preserve">UK tier-1 retail bank</w:t>
            </w: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. Event-driven ingestion, hybrid orchestration bridging a legacy enterprise scheduler with cloud workflows, modelled warehouse, provisioned as code.</w:t>
            </w:r>
          </w:p>
          <w:p>
            <w:pPr>
              <w:spacing w:after="306" w:before="102" w:line="229" w:lineRule="exact"/>
            </w:pPr>
            <w:r>
              <w:rPr>
                <w:rFonts w:ascii="Consolas" w:cs="Consolas" w:eastAsia="Consolas" w:hAnsi="Consolas"/>
                <w:color w:val="0A5245"/>
                <w:sz w:val="15"/>
                <w:szCs w:val="15"/>
              </w:rPr>
              <w:t xml:space="preserve">Confluent Kafka · Cloud Composer · Airflow · dbt · BigQuery · Terraform · CI/CD</w:t>
            </w:r>
          </w:p>
          <w:p>
            <w:pPr>
              <w:spacing w:after="79" w:before="0" w:line="238" w:lineRule="exact"/>
            </w:pPr>
            <w:r>
              <w:rPr>
                <w:rFonts w:ascii="Arial" w:cs="Arial" w:eastAsia="Arial" w:hAnsi="Arial"/>
                <w:b/>
                <w:bCs/>
                <w:color w:val="14181D"/>
                <w:sz w:val="20"/>
                <w:szCs w:val="20"/>
              </w:rPr>
              <w:t xml:space="preserve">Applied AI</w:t>
            </w:r>
            <w:r>
              <w:rPr>
                <w:rFonts w:ascii="Consolas" w:cs="Consolas" w:eastAsia="Consolas" w:hAnsi="Consolas"/>
                <w:i/>
                <w:iCs/>
                <w:color w:val="6C7571"/>
                <w:spacing w:val="6"/>
                <w:sz w:val="13"/>
                <w:szCs w:val="13"/>
              </w:rPr>
              <w:t xml:space="preserve">open source</w:t>
            </w:r>
          </w:p>
          <w:p>
            <w:pPr>
              <w:spacing w:after="0" w:before="0" w:line="248" w:lineRule="exact"/>
            </w:pP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A published agent ecosystem: a </w:t>
            </w:r>
            <w:r>
              <w:rPr>
                <w:rFonts w:ascii="Arial" w:cs="Arial" w:eastAsia="Arial" w:hAnsi="Arial"/>
                <w:b/>
                <w:bCs/>
                <w:color w:val="14181D"/>
                <w:sz w:val="17"/>
                <w:szCs w:val="17"/>
              </w:rPr>
              <w:t xml:space="preserve">terminal coding agent on npm</w:t>
            </w: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, and the Rust beneath it — embedding search with an ANN index written from scratch, offline speech recognition, token-efficient web retrieval.</w:t>
            </w:r>
          </w:p>
          <w:p>
            <w:pPr>
              <w:spacing w:after="306" w:before="102" w:line="229" w:lineRule="exact"/>
            </w:pPr>
            <w:r>
              <w:rPr>
                <w:rFonts w:ascii="Consolas" w:cs="Consolas" w:eastAsia="Consolas" w:hAnsi="Consolas"/>
                <w:color w:val="0A5245"/>
                <w:sz w:val="15"/>
                <w:szCs w:val="15"/>
              </w:rPr>
              <w:t xml:space="preserve">Rust · TypeScript · ONNX Runtime · HNSW · BM25 hybrid retrieval · MCP · 25+ LLM providers</w:t>
            </w:r>
          </w:p>
          <w:p>
            <w:pPr>
              <w:spacing w:after="79" w:before="0" w:line="238" w:lineRule="exact"/>
            </w:pPr>
            <w:r>
              <w:rPr>
                <w:rFonts w:ascii="Arial" w:cs="Arial" w:eastAsia="Arial" w:hAnsi="Arial"/>
                <w:b/>
                <w:bCs/>
                <w:color w:val="14181D"/>
                <w:sz w:val="20"/>
                <w:szCs w:val="20"/>
              </w:rPr>
              <w:t xml:space="preserve">Payments &amp; Cards</w:t>
            </w:r>
            <w:r>
              <w:rPr>
                <w:rFonts w:ascii="Consolas" w:cs="Consolas" w:eastAsia="Consolas" w:hAnsi="Consolas"/>
                <w:i/>
                <w:iCs/>
                <w:color w:val="6C7571"/>
                <w:spacing w:val="6"/>
                <w:sz w:val="13"/>
                <w:szCs w:val="13"/>
              </w:rPr>
              <w:t xml:space="preserve">2022 — 2025</w:t>
            </w:r>
          </w:p>
          <w:p>
            <w:pPr>
              <w:spacing w:after="0" w:before="0" w:line="248" w:lineRule="exact"/>
            </w:pP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Led modernisation of </w:t>
            </w:r>
            <w:r>
              <w:rPr>
                <w:rFonts w:ascii="Arial" w:cs="Arial" w:eastAsia="Arial" w:hAnsi="Arial"/>
                <w:b/>
                <w:bCs/>
                <w:color w:val="14181D"/>
                <w:sz w:val="17"/>
                <w:szCs w:val="17"/>
              </w:rPr>
              <w:t xml:space="preserve">Digital Cards</w:t>
            </w: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 — Add to Wallet, card controls, View PIN — from on-premise to GCP, with the secure microservice and cross-cloud API patterns a regulated estate needs.</w:t>
            </w:r>
          </w:p>
          <w:p>
            <w:pPr>
              <w:spacing w:after="306" w:before="102" w:line="229" w:lineRule="exact"/>
            </w:pPr>
            <w:r>
              <w:rPr>
                <w:rFonts w:ascii="Consolas" w:cs="Consolas" w:eastAsia="Consolas" w:hAnsi="Consolas"/>
                <w:color w:val="0A5245"/>
                <w:sz w:val="15"/>
                <w:szCs w:val="15"/>
              </w:rPr>
              <w:t xml:space="preserve">GCP · microservices · API gateways · containerisation · compliance</w:t>
            </w:r>
          </w:p>
        </w:tc>
        <w:tc>
          <w:tcPr>
            <w:tcW w:type="dxa" w:w="5887"/>
            <w:tcBorders>
              <w:top w:val="none" w:color="FFFFFF" w:sz="0"/>
              <w:left w:val="none" w:color="FFFFFF" w:sz="0"/>
              <w:bottom w:val="none" w:color="FFFFFF" w:sz="0"/>
              <w:right w:val="single" w:color="D2D7D1" w:sz="7" w:space="2"/>
            </w:tcBorders>
            <w:tcMar>
              <w:top w:type="dxa" w:w="369"/>
              <w:left w:type="dxa" w:w="369"/>
              <w:bottom w:type="dxa" w:w="369"/>
              <w:right w:type="dxa" w:w="369"/>
            </w:tcMar>
          </w:tcPr>
          <w:p>
            <w:pPr>
              <w:pBdr>
                <w:bottom w:val="single" w:color="0A5245" w:sz="7" w:space="4"/>
              </w:pBdr>
              <w:spacing w:after="17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pacing w:val="24"/>
                <w:sz w:val="13"/>
                <w:szCs w:val="13"/>
              </w:rPr>
              <w:t xml:space="preserve">SHIPPED, IN PUBLIC · GITHUB.COM/KOLISACHINT</w:t>
            </w:r>
          </w:p>
          <w:p>
            <w:pPr>
              <w:tabs>
                <w:tab w:val="right" w:pos="5149"/>
              </w:tabs>
              <w:spacing w:after="0" w:before="23" w:line="253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z w:val="17"/>
                <w:szCs w:val="17"/>
              </w:rPr>
              <w:t xml:space="preserve">hoocode</w:t>
            </w:r>
            <w:r>
              <w:t xml:space="preserve">	</w:t>
            </w:r>
            <w:r>
              <w:rPr>
                <w:rFonts w:ascii="Consolas" w:cs="Consolas" w:eastAsia="Consolas" w:hAnsi="Consolas"/>
                <w:color w:val="6C7571"/>
                <w:sz w:val="14"/>
                <w:szCs w:val="14"/>
              </w:rPr>
              <w:t xml:space="preserve">TypeScript · npm</w:t>
            </w:r>
          </w:p>
          <w:p>
            <w:pPr>
              <w:spacing w:after="0" w:before="57" w:line="232" w:lineRule="exact"/>
            </w:pP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Deterministic terminal coding agent. Permission gate on every edit and command; four scoped modes; MCP servers and subagents. Four packages, including a unified LLM API across 25+ providers.</w:t>
            </w:r>
          </w:p>
          <w:p>
            <w:pPr>
              <w:tabs>
                <w:tab w:val="right" w:pos="5149"/>
              </w:tabs>
              <w:spacing w:after="0" w:before="193" w:line="253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z w:val="17"/>
                <w:szCs w:val="17"/>
              </w:rPr>
              <w:t xml:space="preserve">embeddingsearchtools</w:t>
            </w:r>
            <w:r>
              <w:t xml:space="preserve">	</w:t>
            </w:r>
            <w:r>
              <w:rPr>
                <w:rFonts w:ascii="Consolas" w:cs="Consolas" w:eastAsia="Consolas" w:hAnsi="Consolas"/>
                <w:color w:val="6C7571"/>
                <w:sz w:val="14"/>
                <w:szCs w:val="14"/>
              </w:rPr>
              <w:t xml:space="preserve">Rust</w:t>
            </w:r>
          </w:p>
          <w:p>
            <w:pPr>
              <w:spacing w:after="0" w:before="57" w:line="232" w:lineRule="exact"/>
            </w:pP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Embedding search engine. MiniLM via ONNX Runtime, int8 weights bundled into the binary; exact and </w:t>
            </w:r>
            <w:r>
              <w:rPr>
                <w:rFonts w:ascii="Arial" w:cs="Arial" w:eastAsia="Arial" w:hAnsi="Arial"/>
                <w:b/>
                <w:bCs/>
                <w:color w:val="14181D"/>
                <w:sz w:val="17"/>
                <w:szCs w:val="17"/>
              </w:rPr>
              <w:t xml:space="preserve">HNSW approximate</w:t>
            </w: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 indexes; BM25 lexical fusion for hybrid retrieval; mmap store, CLI and daemon.</w:t>
            </w:r>
          </w:p>
          <w:p>
            <w:pPr>
              <w:tabs>
                <w:tab w:val="right" w:pos="5149"/>
              </w:tabs>
              <w:spacing w:after="0" w:before="193" w:line="253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z w:val="17"/>
                <w:szCs w:val="17"/>
              </w:rPr>
              <w:t xml:space="preserve">voicetools</w:t>
            </w:r>
            <w:r>
              <w:t xml:space="preserve">	</w:t>
            </w:r>
            <w:r>
              <w:rPr>
                <w:rFonts w:ascii="Consolas" w:cs="Consolas" w:eastAsia="Consolas" w:hAnsi="Consolas"/>
                <w:color w:val="6C7571"/>
                <w:sz w:val="14"/>
                <w:szCs w:val="14"/>
              </w:rPr>
              <w:t xml:space="preserve">Rust</w:t>
            </w:r>
          </w:p>
          <w:p>
            <w:pPr>
              <w:spacing w:after="0" w:before="57" w:line="232" w:lineRule="exact"/>
            </w:pP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Offline speech-to-text. Microphone capture through voice-activity detection into Parakeet-TDT on ONNX Runtime, 25 languages, Whisper fallback.</w:t>
            </w:r>
          </w:p>
          <w:p>
            <w:pPr>
              <w:tabs>
                <w:tab w:val="right" w:pos="5149"/>
              </w:tabs>
              <w:spacing w:after="0" w:before="193" w:line="253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z w:val="17"/>
                <w:szCs w:val="17"/>
              </w:rPr>
              <w:t xml:space="preserve">webtools</w:t>
            </w:r>
            <w:r>
              <w:t xml:space="preserve">	</w:t>
            </w:r>
            <w:r>
              <w:rPr>
                <w:rFonts w:ascii="Consolas" w:cs="Consolas" w:eastAsia="Consolas" w:hAnsi="Consolas"/>
                <w:color w:val="6C7571"/>
                <w:sz w:val="14"/>
                <w:szCs w:val="14"/>
              </w:rPr>
              <w:t xml:space="preserve">Rust</w:t>
            </w:r>
          </w:p>
          <w:p>
            <w:pPr>
              <w:spacing w:after="193" w:before="57" w:line="232" w:lineRule="exact"/>
            </w:pPr>
            <w:r>
              <w:rPr>
                <w:rFonts w:ascii="Arial" w:cs="Arial" w:eastAsia="Arial" w:hAnsi="Arial"/>
                <w:color w:val="14181D"/>
                <w:sz w:val="17"/>
                <w:szCs w:val="17"/>
              </w:rPr>
              <w:t xml:space="preserve">Token-efficient fetch and search for LLM agents. Reference-style URL preservation turns links into single-token markers under a token budget.</w:t>
            </w:r>
          </w:p>
        </w:tc>
        <w:tc>
          <w:tcPr>
            <w:tcW w:type="dxa" w:w="5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9"/>
              <w:left w:type="dxa" w:w="369"/>
              <w:bottom w:type="dxa" w:w="369"/>
              <w:right w:type="dxa" w:w="369"/>
            </w:tcMar>
          </w:tcPr>
          <w:p>
            <w:pPr>
              <w:pBdr>
                <w:bottom w:val="single" w:color="0A5245" w:sz="7" w:space="4"/>
              </w:pBdr>
              <w:spacing w:after="17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pacing w:val="24"/>
                <w:sz w:val="13"/>
                <w:szCs w:val="13"/>
              </w:rPr>
              <w:t xml:space="preserve">CLIENTS</w:t>
            </w:r>
          </w:p>
          <w:tbl>
            <w:tblPr>
              <w:tblW w:type="dxa" w:w="43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350"/>
              <w:gridCol w:w="2975"/>
            </w:tblGrid>
            <w:tr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Banking UK</w:t>
                  </w:r>
                </w:p>
              </w:tc>
              <w:tc>
                <w:tcPr>
                  <w:tcW w:type="dxa" w:w="29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25" w:before="0" w:line="208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Lloyds Banking Group</w:t>
                  </w:r>
                </w:p>
              </w:tc>
            </w:tr>
            <w:tr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Retail US</w:t>
                  </w:r>
                </w:p>
              </w:tc>
              <w:tc>
                <w:tcPr>
                  <w:tcW w:type="dxa" w:w="29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25" w:before="0" w:line="208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Sears Holdings</w:t>
                  </w:r>
                </w:p>
              </w:tc>
            </w:tr>
            <w:tr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Telecom SAU</w:t>
                  </w:r>
                </w:p>
              </w:tc>
              <w:tc>
                <w:tcPr>
                  <w:tcW w:type="dxa" w:w="29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25" w:before="0" w:line="208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Saudi Telecom</w:t>
                  </w:r>
                </w:p>
              </w:tc>
            </w:tr>
            <w:tr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Banking UK</w:t>
                  </w:r>
                </w:p>
              </w:tc>
              <w:tc>
                <w:tcPr>
                  <w:tcW w:type="dxa" w:w="29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25" w:before="0" w:line="208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Barclays</w:t>
                  </w:r>
                </w:p>
              </w:tc>
            </w:tr>
            <w:tr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Telecom AU</w:t>
                  </w:r>
                </w:p>
              </w:tc>
              <w:tc>
                <w:tcPr>
                  <w:tcW w:type="dxa" w:w="29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25" w:before="0" w:line="208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Telstra</w:t>
                  </w:r>
                </w:p>
              </w:tc>
            </w:tr>
          </w:tbl>
          <w:p>
            <w:pPr>
              <w:pBdr>
                <w:bottom w:val="single" w:color="0A5245" w:sz="7" w:space="4"/>
              </w:pBdr>
              <w:spacing w:after="170" w:before="255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0A5245"/>
                <w:spacing w:val="24"/>
                <w:sz w:val="13"/>
                <w:szCs w:val="13"/>
              </w:rPr>
              <w:t xml:space="preserve">TRACK</w:t>
            </w:r>
          </w:p>
          <w:tbl>
            <w:tblPr>
              <w:tblW w:type="dxa" w:w="43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70"/>
              <w:gridCol w:w="3355"/>
            </w:tblGrid>
            <w:tr>
              <w:tc>
                <w:tcPr>
                  <w:tcW w:type="dxa" w:w="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2021—</w:t>
                  </w:r>
                </w:p>
              </w:tc>
              <w:tc>
                <w:tcPr>
                  <w:tcW w:type="dxa" w:w="335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16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Tata Consultancy Services</w:t>
                  </w:r>
                </w:p>
                <w:p>
                  <w:pPr>
                    <w:spacing w:after="142" w:before="0" w:line="216" w:lineRule="exact"/>
                  </w:pPr>
                  <w:r>
                    <w:rPr>
                      <w:rFonts w:ascii="Arial" w:cs="Arial" w:eastAsia="Arial" w:hAnsi="Arial"/>
                      <w:color w:val="6C7571"/>
                      <w:sz w:val="14"/>
                      <w:szCs w:val="14"/>
                    </w:rPr>
                    <w:t xml:space="preserve">Solution Architect</w:t>
                  </w:r>
                </w:p>
              </w:tc>
            </w:tr>
            <w:tr>
              <w:tc>
                <w:tcPr>
                  <w:tcW w:type="dxa" w:w="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2018—21</w:t>
                  </w:r>
                </w:p>
              </w:tc>
              <w:tc>
                <w:tcPr>
                  <w:tcW w:type="dxa" w:w="335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16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Sears India</w:t>
                  </w:r>
                </w:p>
                <w:p>
                  <w:pPr>
                    <w:spacing w:after="142" w:before="0" w:line="216" w:lineRule="exact"/>
                  </w:pPr>
                  <w:r>
                    <w:rPr>
                      <w:rFonts w:ascii="Arial" w:cs="Arial" w:eastAsia="Arial" w:hAnsi="Arial"/>
                      <w:color w:val="6C7571"/>
                      <w:sz w:val="14"/>
                      <w:szCs w:val="14"/>
                    </w:rPr>
                    <w:t xml:space="preserve">Architect</w:t>
                  </w:r>
                </w:p>
              </w:tc>
            </w:tr>
            <w:tr>
              <w:tc>
                <w:tcPr>
                  <w:tcW w:type="dxa" w:w="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2010—18</w:t>
                  </w:r>
                </w:p>
              </w:tc>
              <w:tc>
                <w:tcPr>
                  <w:tcW w:type="dxa" w:w="335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16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Cognizant</w:t>
                  </w:r>
                </w:p>
                <w:p>
                  <w:pPr>
                    <w:spacing w:after="142" w:before="0" w:line="216" w:lineRule="exact"/>
                  </w:pPr>
                  <w:r>
                    <w:rPr>
                      <w:rFonts w:ascii="Arial" w:cs="Arial" w:eastAsia="Arial" w:hAnsi="Arial"/>
                      <w:color w:val="6C7571"/>
                      <w:sz w:val="14"/>
                      <w:szCs w:val="14"/>
                    </w:rPr>
                    <w:t xml:space="preserve">Sr. Associate — Projects</w:t>
                  </w:r>
                </w:p>
              </w:tc>
            </w:tr>
            <w:tr>
              <w:tc>
                <w:tcPr>
                  <w:tcW w:type="dxa" w:w="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2008—10</w:t>
                  </w:r>
                </w:p>
              </w:tc>
              <w:tc>
                <w:tcPr>
                  <w:tcW w:type="dxa" w:w="335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16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Mahindra Satyam</w:t>
                  </w:r>
                </w:p>
                <w:p>
                  <w:pPr>
                    <w:spacing w:after="142" w:before="0" w:line="216" w:lineRule="exact"/>
                  </w:pPr>
                  <w:r>
                    <w:rPr>
                      <w:rFonts w:ascii="Arial" w:cs="Arial" w:eastAsia="Arial" w:hAnsi="Arial"/>
                      <w:color w:val="6C7571"/>
                      <w:sz w:val="14"/>
                      <w:szCs w:val="14"/>
                    </w:rPr>
                    <w:t xml:space="preserve">Software Developer</w:t>
                  </w:r>
                </w:p>
              </w:tc>
            </w:tr>
            <w:tr>
              <w:tc>
                <w:tcPr>
                  <w:tcW w:type="dxa" w:w="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p>
                  <w:pPr>
                    <w:spacing w:after="0" w:before="0" w:line="199" w:lineRule="exact"/>
                  </w:pPr>
                  <w:r>
                    <w:rPr>
                      <w:rFonts w:ascii="Consolas" w:cs="Consolas" w:eastAsia="Consolas" w:hAnsi="Consolas"/>
                      <w:color w:val="6C7571"/>
                      <w:sz w:val="14"/>
                      <w:szCs w:val="14"/>
                    </w:rPr>
                    <w:t xml:space="preserve">2003—07</w:t>
                  </w:r>
                </w:p>
              </w:tc>
              <w:tc>
                <w:tcPr>
                  <w:tcW w:type="dxa" w:w="335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16" w:lineRule="exac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D"/>
                      <w:sz w:val="17"/>
                      <w:szCs w:val="17"/>
                    </w:rPr>
                    <w:t xml:space="preserve">BE Computer Science</w:t>
                  </w:r>
                </w:p>
                <w:p>
                  <w:pPr>
                    <w:spacing w:after="142" w:before="0" w:line="216" w:lineRule="exact"/>
                  </w:pPr>
                  <w:r>
                    <w:rPr>
                      <w:rFonts w:ascii="Arial" w:cs="Arial" w:eastAsia="Arial" w:hAnsi="Arial"/>
                      <w:color w:val="6C7571"/>
                      <w:sz w:val="14"/>
                      <w:szCs w:val="14"/>
                    </w:rPr>
                    <w:t xml:space="preserve">Walchand COE, Sangli</w:t>
                  </w:r>
                </w:p>
              </w:tc>
            </w:tr>
          </w:tbl>
          <w:p/>
        </w:tc>
      </w:tr>
    </w:tbl>
    <w:p>
      <w:pPr>
        <w:pBdr>
          <w:top w:val="single" w:color="D2D7D1" w:sz="7" w:space="7"/>
        </w:pBdr>
        <w:tabs>
          <w:tab w:val="right" w:pos="16838"/>
        </w:tabs>
        <w:spacing w:after="170" w:before="0" w:line="173" w:lineRule="exact"/>
        <w:ind w:left="567" w:right="567"/>
      </w:pPr>
      <w:r>
        <w:rPr>
          <w:rFonts w:ascii="Consolas" w:cs="Consolas" w:eastAsia="Consolas" w:hAnsi="Consolas"/>
          <w:color w:val="6C7571"/>
          <w:sz w:val="12"/>
          <w:szCs w:val="12"/>
        </w:rPr>
        <w:t xml:space="preserve">Sachin Koli — Solution Architect, Cloud Data &amp; AI Platforms</w:t>
      </w:r>
      <w:r>
        <w:t xml:space="preserve">	</w:t>
      </w:r>
      <w:r>
        <w:rPr>
          <w:rFonts w:ascii="Consolas" w:cs="Consolas" w:eastAsia="Consolas" w:hAnsi="Consolas"/>
          <w:color w:val="6C7571"/>
          <w:sz w:val="12"/>
          <w:szCs w:val="12"/>
        </w:rPr>
        <w:t xml:space="preserve">github.com/kolisachint</w:t>
      </w:r>
    </w:p>
    <w:sectPr>
      <w:pgSz w:w="16838" w:h="11906" w:orient="landscape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81D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7f57ca1ca1693b4d44d27a7409bab020e50bc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Sachin Koli — Profile</dc:title>
  <dc:creator>Sachin Koli</dc:creator>
  <cp:lastModifiedBy>Un-named</cp:lastModifiedBy>
  <cp:revision>1</cp:revision>
  <dcterms:created xsi:type="dcterms:W3CDTF">2026-08-30T19:08:09.469Z</dcterms:created>
  <dcterms:modified xsi:type="dcterms:W3CDTF">2026-08-30T19:08:09.469Z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