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80" w:line="270" w:lineRule="auto"/>
        <w:ind w:left="0" w:right="0" w:firstLine="0"/>
        <w:jc w:val="left"/>
        <w:rPr>
          <w:rFonts w:ascii="Helvetica Neue" w:hAnsi="Helvetica Neue" w:eastAsia="Helvetica Neue" w:cs="Helvetica Neue"/>
          <w:b/>
          <w:bCs/>
          <w:smallCaps/>
          <w:color w:val="5B7085"/>
        </w:rPr>
      </w:pPr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80" w:line="270" w:lineRule="auto"/>
        <w:ind w:left="0" w:right="0" w:firstLine="0"/>
        <w:jc w:val="left"/>
        <w:rPr>
          <w:rFonts w:ascii="Helvetica Neue" w:hAnsi="Helvetica Neue" w:eastAsia="Helvetica Neue" w:cs="Helvetica Neue"/>
          <w:b/>
          <w:bCs/>
          <w:smallCaps/>
          <w:color w:val="5B7085"/>
        </w:rPr>
      </w:pPr>
    </w:p>
    <w:p w14:paraId="000000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80" w:line="270" w:lineRule="auto"/>
        <w:ind w:left="0" w:right="0" w:firstLine="0"/>
        <w:jc w:val="left"/>
        <w:rPr>
          <w:rFonts w:ascii="Helvetica Neue" w:hAnsi="Helvetica Neue" w:eastAsia="Helvetica Neue" w:cs="Helvetica Neue"/>
          <w:b/>
          <w:bCs/>
          <w:smallCaps/>
          <w:color w:val="5B7085"/>
        </w:rPr>
      </w:pPr>
    </w:p>
    <w:p w14:paraId="000000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80" w:line="270" w:lineRule="auto"/>
        <w:ind w:left="0" w:right="0" w:firstLine="0"/>
        <w:jc w:val="left"/>
        <w:rPr>
          <w:rFonts w:ascii="Helvetica Neue" w:hAnsi="Helvetica Neue" w:eastAsia="Helvetica Neue" w:cs="Helvetica Neue"/>
          <w:b/>
          <w:bCs/>
          <w:smallCaps/>
          <w:color w:val="5B7085"/>
        </w:rPr>
      </w:pPr>
    </w:p>
    <w:p w14:paraId="0000000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80" w:line="270" w:lineRule="auto"/>
        <w:ind w:left="0" w:right="0" w:firstLine="0"/>
        <w:jc w:val="left"/>
        <w:rPr>
          <w:rFonts w:ascii="Helvetica Neue" w:hAnsi="Helvetica Neue" w:eastAsia="Helvetica Neue" w:cs="Helvetica Neue"/>
          <w:b/>
          <w:bCs/>
          <w:smallCaps/>
          <w:color w:val="5B7085"/>
        </w:rPr>
      </w:pPr>
    </w:p>
    <w:p w14:paraId="000000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80" w:line="270" w:lineRule="auto"/>
        <w:ind w:left="0" w:right="0" w:firstLine="0"/>
        <w:jc w:val="left"/>
        <w:rPr>
          <w:rFonts w:ascii="Helvetica Neue" w:hAnsi="Helvetica Neue" w:eastAsia="Helvetica Neue" w:cs="Helvetica Neue"/>
          <w:b/>
          <w:bCs/>
          <w:smallCaps/>
          <w:color w:val="5B7085"/>
        </w:rPr>
      </w:pP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80" w:line="270" w:lineRule="auto"/>
        <w:ind w:left="0" w:right="0" w:firstLine="0"/>
        <w:jc w:val="left"/>
        <w:rPr>
          <w:rFonts w:ascii="Helvetica Neue" w:hAnsi="Helvetica Neue" w:eastAsia="Helvetica Neue" w:cs="Helvetica Neue"/>
          <w:b/>
          <w:bCs/>
          <w:smallCaps/>
          <w:color w:val="5B7085"/>
        </w:rPr>
      </w:pPr>
    </w:p>
    <w:p w14:paraId="00000008">
      <w:pPr>
        <w:spacing w:before="0" w:after="0" w:line="20" w:lineRule="auto"/>
        <w:rPr>
          <w:rFonts w:ascii="Helvetica Neue" w:hAnsi="Helvetica Neue" w:eastAsia="Helvetica Neue" w:cs="Helvetica Neue"/>
          <w:color w:val="000000"/>
        </w:rPr>
      </w:pPr>
    </w:p>
    <w:p w14:paraId="00000009">
      <w:pPr>
        <w:pStyle w:val="9"/>
        <w:spacing w:line="240" w:lineRule="auto"/>
        <w:rPr>
          <w:rFonts w:ascii="Helvetica Neue Light" w:hAnsi="Helvetica Neue Light" w:eastAsia="Helvetica Neue Light" w:cs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hAnsi="Helvetica Neue Light" w:eastAsia="Heiti SC" w:cs="Helvetica Neue Light"/>
          <w:b w:val="0"/>
          <w:bCs w:val="0"/>
          <w:color w:val="5B7085"/>
          <w:sz w:val="72"/>
          <w:szCs w:val="72"/>
          <w:rtl w:val="0"/>
        </w:rPr>
        <w:t>胸片标签二分类</w:t>
      </w:r>
    </w:p>
    <w:p w14:paraId="0000000A">
      <w:pPr>
        <w:pStyle w:val="9"/>
        <w:spacing w:line="240" w:lineRule="auto"/>
        <w:rPr>
          <w:rFonts w:ascii="Helvetica Neue" w:hAnsi="Helvetica Neue" w:eastAsia="Helvetica Neue" w:cs="Helvetica Neue"/>
          <w:sz w:val="72"/>
          <w:szCs w:val="72"/>
        </w:rPr>
      </w:pPr>
      <w:r>
        <w:rPr>
          <w:rFonts w:ascii="Helvetica Neue" w:hAnsi="Helvetica Neue" w:eastAsia="Heiti SC" w:cs="Helvetica Neue"/>
          <w:sz w:val="72"/>
          <w:szCs w:val="72"/>
          <w:rtl w:val="0"/>
        </w:rPr>
        <w:t>项目详细说明</w:t>
      </w:r>
    </w:p>
    <w:p w14:paraId="0000000B">
      <w:pPr>
        <w:rPr>
          <w:rFonts w:ascii="Helvetica Neue" w:hAnsi="Helvetica Neue" w:eastAsia="Helvetica Neue" w:cs="Helvetica Neue"/>
        </w:rPr>
      </w:pPr>
    </w:p>
    <w:p w14:paraId="0000000C">
      <w:pPr>
        <w:rPr>
          <w:rFonts w:ascii="Helvetica Neue" w:hAnsi="Helvetica Neue" w:eastAsia="Helvetica Neue" w:cs="Helvetica Neue"/>
        </w:rPr>
      </w:pPr>
    </w:p>
    <w:p w14:paraId="0000000D">
      <w:pPr>
        <w:rPr>
          <w:rFonts w:ascii="Helvetica Neue" w:hAnsi="Helvetica Neue" w:eastAsia="Helvetica Neue" w:cs="Helvetica Neue"/>
        </w:rPr>
      </w:pPr>
    </w:p>
    <w:p w14:paraId="0000000E">
      <w:pPr>
        <w:rPr>
          <w:rFonts w:ascii="Helvetica Neue" w:hAnsi="Helvetica Neue" w:eastAsia="Helvetica Neue" w:cs="Helvetica Neue"/>
        </w:rPr>
      </w:pPr>
    </w:p>
    <w:p w14:paraId="0000000F">
      <w:pPr>
        <w:rPr>
          <w:rFonts w:ascii="Helvetica Neue" w:hAnsi="Helvetica Neue" w:eastAsia="Helvetica Neue" w:cs="Helvetica Neue"/>
        </w:rPr>
      </w:pPr>
    </w:p>
    <w:p w14:paraId="00000010">
      <w:pPr>
        <w:rPr>
          <w:rFonts w:ascii="Helvetica Neue" w:hAnsi="Helvetica Neue" w:eastAsia="Helvetica Neue" w:cs="Helvetica Neue"/>
        </w:rPr>
      </w:pPr>
    </w:p>
    <w:p w14:paraId="00000011">
      <w:pPr>
        <w:rPr>
          <w:rFonts w:ascii="Helvetica Neue" w:hAnsi="Helvetica Neue" w:eastAsia="Helvetica Neue" w:cs="Helvetica Neue"/>
        </w:rPr>
      </w:pPr>
    </w:p>
    <w:p w14:paraId="00000012">
      <w:pPr>
        <w:rPr>
          <w:rFonts w:ascii="Helvetica Neue" w:hAnsi="Helvetica Neue" w:eastAsia="Helvetica Neue" w:cs="Helvetica Neue"/>
        </w:rPr>
      </w:pPr>
    </w:p>
    <w:p w14:paraId="00000013">
      <w:pPr>
        <w:rPr>
          <w:rFonts w:ascii="Helvetica Neue" w:hAnsi="Helvetica Neue" w:eastAsia="Helvetica Neue" w:cs="Helvetica Neue"/>
        </w:rPr>
      </w:pPr>
    </w:p>
    <w:p w14:paraId="00000014">
      <w:pPr>
        <w:rPr>
          <w:rFonts w:ascii="Helvetica Neue" w:hAnsi="Helvetica Neue" w:eastAsia="Helvetica Neue" w:cs="Helvetica Neue"/>
        </w:rPr>
      </w:pPr>
    </w:p>
    <w:tbl>
      <w:tblPr>
        <w:tblStyle w:val="13"/>
        <w:tblW w:w="10400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00"/>
        <w:gridCol w:w="400"/>
        <w:gridCol w:w="3200"/>
        <w:gridCol w:w="400"/>
        <w:gridCol w:w="3200"/>
      </w:tblGrid>
      <w:tr w14:paraId="17B3E899">
        <w:trPr>
          <w:jc w:val="center"/>
        </w:trPr>
        <w:tc>
          <w:p w14:paraId="00000015">
            <w:pPr>
              <w:pStyle w:val="4"/>
            </w:pPr>
            <w:r>
              <w:rPr>
                <w:rFonts w:eastAsia="Heiti SC"/>
                <w:rtl w:val="0"/>
              </w:rPr>
              <w:t>项目状态</w:t>
            </w:r>
          </w:p>
          <w:p w14:paraId="00000016">
            <w:pPr>
              <w:spacing w:after="110" w:line="30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iti SC" w:cs="Helvetica Neue"/>
                <w:color w:val="233447"/>
                <w:rtl w:val="0"/>
              </w:rPr>
              <w:t>已完成基础验证</w:t>
            </w:r>
          </w:p>
        </w:tc>
        <w:tc>
          <w:p w14:paraId="00000017">
            <w:pPr>
              <w:rPr>
                <w:rFonts w:ascii="Helvetica Neue" w:hAnsi="Helvetica Neue" w:eastAsia="Helvetica Neue" w:cs="Helvetica Neue"/>
              </w:rPr>
            </w:pPr>
          </w:p>
        </w:tc>
        <w:tc>
          <w:p w14:paraId="00000018">
            <w:pPr>
              <w:pStyle w:val="4"/>
            </w:pPr>
            <w:r>
              <w:rPr>
                <w:rFonts w:eastAsia="Heiti SC"/>
                <w:rtl w:val="0"/>
              </w:rPr>
              <w:t>数据规模</w:t>
            </w:r>
          </w:p>
          <w:p w14:paraId="00000019">
            <w:pPr>
              <w:spacing w:after="110" w:line="30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iti SC" w:cs="Helvetica Neue"/>
                <w:color w:val="233447"/>
                <w:rtl w:val="0"/>
              </w:rPr>
              <w:t>400 张教学子集</w:t>
            </w:r>
          </w:p>
        </w:tc>
        <w:tc>
          <w:p w14:paraId="0000001A">
            <w:pPr>
              <w:rPr>
                <w:rFonts w:ascii="Helvetica Neue" w:hAnsi="Helvetica Neue" w:eastAsia="Helvetica Neue" w:cs="Helvetica Neue"/>
              </w:rPr>
            </w:pPr>
          </w:p>
        </w:tc>
        <w:tc>
          <w:p w14:paraId="0000001B">
            <w:pPr>
              <w:pStyle w:val="4"/>
            </w:pPr>
            <w:r>
              <w:rPr>
                <w:rFonts w:eastAsia="Heiti SC"/>
                <w:rtl w:val="0"/>
              </w:rPr>
              <w:t>实验日期</w:t>
            </w:r>
          </w:p>
          <w:p w14:paraId="0000001C">
            <w:pPr>
              <w:spacing w:after="110" w:line="300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iti SC" w:cs="Helvetica Neue"/>
                <w:rtl w:val="0"/>
              </w:rPr>
              <w:t>2026 年 9 月 7 日</w:t>
            </w:r>
          </w:p>
        </w:tc>
      </w:tr>
    </w:tbl>
    <w:p w14:paraId="0000001D">
      <w:pPr>
        <w:spacing w:after="110" w:line="300" w:lineRule="auto"/>
        <w:rPr>
          <w:rFonts w:ascii="Helvetica Neue" w:hAnsi="Helvetica Neue" w:eastAsia="Helvetica Neue" w:cs="Helvetica Neue"/>
        </w:rPr>
      </w:pPr>
    </w:p>
    <w:tbl>
      <w:tblPr>
        <w:tblStyle w:val="14"/>
        <w:tblW w:w="10155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8340"/>
      </w:tblGrid>
      <w:tr w14:paraId="211A4772">
        <w:trPr>
          <w:cantSplit/>
          <w:jc w:val="center"/>
        </w:trPr>
        <w:tc>
          <w:tcPr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1E">
            <w:pPr>
              <w:spacing w:before="20" w:after="25" w:line="285" w:lineRule="auto"/>
              <w:rPr>
                <w:rFonts w:ascii="Helvetica Neue" w:hAnsi="Helvetica Neue" w:eastAsia="Helvetica Neue" w:cs="Helvetica Neue"/>
                <w:color w:val="000000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000000"/>
                <w:rtl w:val="0"/>
              </w:rPr>
              <w:t>用途</w:t>
            </w:r>
          </w:p>
        </w:tc>
        <w:tc>
          <w:tcPr>
            <w:tcBorders>
              <w:top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1F">
            <w:pPr>
              <w:spacing w:before="20" w:after="25" w:line="285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iti SC" w:cs="Helvetica Neue"/>
                <w:color w:val="233447"/>
                <w:rtl w:val="0"/>
              </w:rPr>
              <w:t>医学影像算法课程与研发讨论</w:t>
            </w:r>
          </w:p>
        </w:tc>
      </w:tr>
      <w:tr w14:paraId="740F528F">
        <w:trPr>
          <w:cantSplit/>
          <w:trHeight w:val="404" w:hRule="atLeast"/>
          <w:jc w:val="center"/>
        </w:trPr>
        <w:tc>
          <w:tcPr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0">
            <w:pPr>
              <w:spacing w:before="20" w:after="25" w:line="285" w:lineRule="auto"/>
              <w:rPr>
                <w:rFonts w:ascii="Helvetica Neue" w:hAnsi="Helvetica Neue" w:eastAsia="Helvetica Neue" w:cs="Helvetica Neue"/>
                <w:color w:val="000000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000000"/>
                <w:rtl w:val="0"/>
              </w:rPr>
              <w:t>主任务</w:t>
            </w:r>
          </w:p>
        </w:tc>
        <w:tc>
          <w:tcPr>
            <w:tcBorders>
              <w:top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1">
            <w:pPr>
              <w:spacing w:before="20" w:after="25" w:line="285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iti SC" w:cs="Helvetica Neue"/>
                <w:color w:val="233447"/>
                <w:rtl w:val="0"/>
              </w:rPr>
              <w:t>NORMAL 与 PNEUMONIA 影像级二分类</w:t>
            </w:r>
          </w:p>
        </w:tc>
      </w:tr>
      <w:tr w14:paraId="1A65DB5A">
        <w:trPr>
          <w:cantSplit/>
          <w:jc w:val="center"/>
        </w:trPr>
        <w:tc>
          <w:tcPr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2">
            <w:pPr>
              <w:spacing w:before="20" w:after="25" w:line="285" w:lineRule="auto"/>
              <w:rPr>
                <w:rFonts w:ascii="Helvetica Neue" w:hAnsi="Helvetica Neue" w:eastAsia="Helvetica Neue" w:cs="Helvetica Neue"/>
                <w:color w:val="000000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000000"/>
                <w:rtl w:val="0"/>
              </w:rPr>
              <w:t>模型</w:t>
            </w:r>
          </w:p>
        </w:tc>
        <w:tc>
          <w:tcPr>
            <w:tcBorders>
              <w:top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3">
            <w:pPr>
              <w:spacing w:before="20" w:after="25" w:line="285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iti SC" w:cs="Helvetica Neue"/>
                <w:color w:val="233447"/>
                <w:rtl w:val="0"/>
              </w:rPr>
              <w:t>二维灰度像素与 L2 正则化逻辑回归</w:t>
            </w:r>
          </w:p>
        </w:tc>
      </w:tr>
      <w:tr w14:paraId="04158B72">
        <w:trPr>
          <w:cantSplit/>
          <w:jc w:val="center"/>
        </w:trPr>
        <w:tc>
          <w:tcPr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4">
            <w:pPr>
              <w:spacing w:before="20" w:after="25" w:line="285" w:lineRule="auto"/>
              <w:rPr>
                <w:rFonts w:ascii="Helvetica Neue" w:hAnsi="Helvetica Neue" w:eastAsia="Helvetica Neue" w:cs="Helvetica Neue"/>
                <w:color w:val="000000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000000"/>
                <w:rtl w:val="0"/>
              </w:rPr>
              <w:t>材料范围</w:t>
            </w:r>
          </w:p>
        </w:tc>
        <w:tc>
          <w:tcPr>
            <w:tcBorders>
              <w:top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5">
            <w:pPr>
              <w:spacing w:before="20" w:after="25" w:line="285" w:lineRule="auto"/>
              <w:rPr>
                <w:rFonts w:ascii="Helvetica Neue" w:hAnsi="Helvetica Neue" w:eastAsia="Helvetica Neue" w:cs="Helvetica Neue"/>
              </w:rPr>
            </w:pPr>
            <w:r>
              <w:rPr>
                <w:rFonts w:ascii="Helvetica Neue" w:hAnsi="Helvetica Neue" w:eastAsia="Heiti SC" w:cs="Helvetica Neue"/>
                <w:color w:val="233447"/>
                <w:rtl w:val="0"/>
              </w:rPr>
              <w:t>数据抽样  模型训练  验证结果  多模态扩展</w:t>
            </w:r>
          </w:p>
        </w:tc>
      </w:tr>
    </w:tbl>
    <w:p w14:paraId="00000026">
      <w:pPr>
        <w:pStyle w:val="2"/>
        <w:pageBreakBefore/>
        <w:pBdr>
          <w:top w:val="none" w:color="2F6B9A" w:sz="0" w:space="2"/>
          <w:left w:val="none" w:color="2F6B9A" w:sz="0" w:space="2"/>
          <w:bottom w:val="none" w:color="2F6B9A" w:sz="0" w:space="2"/>
          <w:right w:val="none" w:color="2F6B9A" w:sz="0" w:space="2"/>
        </w:pBdr>
        <w:spacing w:before="0" w:after="130" w:line="285" w:lineRule="auto"/>
        <w:rPr>
          <w:rFonts w:ascii="Helvetica Neue" w:hAnsi="Helvetica Neue" w:eastAsia="Helvetica Neue" w:cs="Helvetica Neue"/>
          <w:color w:val="000000"/>
        </w:rPr>
      </w:pPr>
      <w:r>
        <w:rPr>
          <w:rFonts w:ascii="Helvetica Neue" w:hAnsi="Helvetica Neue" w:eastAsia="Heiti SC"/>
          <w:color w:val="082A4A"/>
        </w:rPr>
        <w:t>1 项目概述与任务边界</w:t>
      </w:r>
    </w:p>
    <w:p w14:paraId="00000027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本项目已从本地 chest_xray 数据中抽取 400 张胸片，完成读取审计、分组划分、CPU 逻辑回归训练和测试。测试集 AUROC 为 0.7556，固定阈值下灵敏度为 0.800；同时出现 22 个假阳性和 8 个假阴性。现阶段成果能够用于检查研发流程与讨论算法局限，尚不具备临床有效性证据。</w:t>
      </w:r>
    </w:p>
    <w:p w14:paraId="40426CA7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本说明面向课程评审和项目学习者，解释数据从哪里来、图片如何区分类别、为什么选择当前模型、参数怎样训练，以及后续如何引入结构化辅助信息。正文中的指标来自项目保存的实际运行记录；ResNet 与多模态方法均作为后续方案单独说明。</w:t>
      </w:r>
    </w:p>
    <w:p w14:paraId="0000003E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任务定义</w:t>
      </w:r>
    </w:p>
    <w:p w14:paraId="54093CB3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解决的问题是单张胸片的 NORMAL / PNEUMONIA 标签二分类，属于检测方向中的影像级类别判断。输入为一张胸部 X 光 JPEG，未来可附加配对的拍摄体位。输出为 PNEUMONIA 类别分数和固定阈值生成的预测类别。结果用于算法比较、数据检查和错例复核，不产生诊断、治疗建议或病灶定位结论。</w:t>
      </w:r>
    </w:p>
    <w:tbl>
      <w:tblPr>
        <w:tblStyle w:val="16"/>
        <w:tblW w:w="10224" w:type="dxa"/>
        <w:jc w:val="center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924"/>
      </w:tblGrid>
      <w:tr w14:paraId="2E5FF825">
        <w:trPr>
          <w:cantSplit/>
          <w:tblHeader/>
          <w:jc w:val="center"/>
        </w:trPr>
        <w:tc>
          <w:tcPr>
            <w:tcW w:w="23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0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项目项</w:t>
            </w:r>
          </w:p>
        </w:tc>
        <w:tc>
          <w:tcPr>
            <w:tcW w:w="79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1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当前实现</w:t>
            </w:r>
          </w:p>
        </w:tc>
      </w:tr>
      <w:tr w14:paraId="2CE142BB">
        <w:trPr>
          <w:cantSplit/>
          <w:jc w:val="center"/>
        </w:trPr>
        <w:tc>
          <w:tcPr>
            <w:tcW w:w="23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4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标签来源</w:t>
            </w:r>
          </w:p>
        </w:tc>
        <w:tc>
          <w:tcPr>
            <w:tcW w:w="79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5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沿用原始 NORMAL 和 PNEUMONIA 文件夹标签</w:t>
            </w:r>
          </w:p>
        </w:tc>
      </w:tr>
      <w:tr w14:paraId="4C01FF1A">
        <w:trPr>
          <w:cantSplit/>
          <w:jc w:val="center"/>
        </w:trPr>
        <w:tc>
          <w:tcPr>
            <w:tcW w:w="23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8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模型输入</w:t>
            </w:r>
          </w:p>
        </w:tc>
        <w:tc>
          <w:tcPr>
            <w:tcW w:w="79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9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16×16 灰度图展开的 256 维像素特征</w:t>
            </w:r>
          </w:p>
        </w:tc>
      </w:tr>
      <w:tr w14:paraId="256751E7">
        <w:trPr>
          <w:cantSplit/>
          <w:jc w:val="center"/>
        </w:trPr>
        <w:tc>
          <w:tcPr>
            <w:tcW w:w="23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35D4D0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学习方法</w:t>
            </w:r>
          </w:p>
        </w:tc>
        <w:tc>
          <w:tcPr>
            <w:tcW w:w="79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0915C9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监督学习二分类  NumPy 实现逻辑回归</w:t>
            </w:r>
          </w:p>
        </w:tc>
      </w:tr>
      <w:tr w14:paraId="329D1D55">
        <w:trPr>
          <w:cantSplit/>
          <w:jc w:val="center"/>
        </w:trPr>
        <w:tc>
          <w:tcPr>
            <w:tcW w:w="23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2AC67A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实验规模</w:t>
            </w:r>
          </w:p>
        </w:tc>
        <w:tc>
          <w:tcPr>
            <w:tcW w:w="79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8202B5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训练 240 张  验证 80 张  测试 80 张</w:t>
            </w:r>
          </w:p>
        </w:tc>
      </w:tr>
      <w:tr w14:paraId="52022299">
        <w:trPr>
          <w:cantSplit/>
          <w:jc w:val="center"/>
        </w:trPr>
        <w:tc>
          <w:tcPr>
            <w:tcW w:w="23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D39189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辅助信息</w:t>
            </w:r>
          </w:p>
        </w:tc>
        <w:tc>
          <w:tcPr>
            <w:tcW w:w="79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880547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拍摄体位字段全部 UNKNOWN  当前不参与训练</w:t>
            </w:r>
          </w:p>
        </w:tc>
      </w:tr>
      <w:tr w14:paraId="57565EC3">
        <w:trPr>
          <w:cantSplit/>
          <w:jc w:val="center"/>
        </w:trPr>
        <w:tc>
          <w:tcPr>
            <w:tcW w:w="23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723775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计算与产物</w:t>
            </w:r>
          </w:p>
        </w:tc>
        <w:tc>
          <w:tcPr>
            <w:tcW w:w="79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55216D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CPU 训练  数据清单  指标  预测  参数和示例图</w:t>
            </w:r>
          </w:p>
        </w:tc>
      </w:tr>
    </w:tbl>
    <w:p w14:paraId="0000003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270" w:lineRule="auto"/>
        <w:ind w:left="0" w:right="0" w:firstLine="0"/>
        <w:jc w:val="left"/>
        <w:rPr>
          <w:rFonts w:ascii="Helvetica Neue" w:hAnsi="Helvetica Neue" w:eastAsia="Helvetica Neue" w:cs="Helvetica Neue"/>
          <w:color w:val="082A4A"/>
        </w:rPr>
      </w:pPr>
    </w:p>
    <w:p w14:paraId="35C937AB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当前没有框、分割掩膜或逐例报告，因此不评估定位、分割或报告生成。也没有训练卷积神经网络；文档中讨论的高分辨率编码器与多模态拼接不属于已完成结果。</w:t>
      </w:r>
    </w:p>
    <w:p w14:paraId="4DF1B0DD">
      <w:pPr>
        <w:pStyle w:val="2"/>
        <w:pageBreakBefore/>
        <w:pBdr>
          <w:top w:val="none" w:color="2F6B9A" w:sz="0" w:space="2"/>
          <w:left w:val="none" w:color="2F6B9A" w:sz="0" w:space="2"/>
          <w:bottom w:val="none" w:color="2F6B9A" w:sz="0" w:space="2"/>
          <w:right w:val="none" w:color="2F6B9A" w:sz="0" w:space="2"/>
        </w:pBdr>
        <w:spacing w:before="0" w:after="130" w:line="285" w:lineRule="auto"/>
        <w:rPr>
          <w:rFonts w:ascii="Helvetica Neue" w:hAnsi="Helvetica Neue" w:eastAsia="Helvetica Neue" w:cs="Helvetica Neue"/>
          <w:color w:val="000000"/>
        </w:rPr>
      </w:pPr>
      <w:r>
        <w:rPr>
          <w:rFonts w:ascii="Helvetica Neue" w:hAnsi="Helvetica Neue" w:eastAsia="Heiti SC"/>
          <w:color w:val="082A4A"/>
        </w:rPr>
        <w:t>2 数据来源与使用范围</w:t>
      </w:r>
    </w:p>
    <w:p w14:paraId="0B3EBD04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选择 Kermany 等人公开发布的儿科胸片数据，常见分发入口为 Kaggle 的 Chest X-Ray Images (Pneumonia)，原始存档见 Mendeley Data v2 和 v3。数据卡描述的人群为广州妇女儿童医疗中心的 1 至 5 岁儿童，提供图像级标签。不能用数据集总体描述为每张图片猜填年龄或体位。公开来源链接列于文末。[1–4]</w:t>
      </w:r>
    </w:p>
    <w:p w14:paraId="4922C3DA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项目原有记录在 2026 年 9 月 7 日核查了发布页：Mendeley v2/v3 标注 CC BY 4.0，v3 描述另有 research only。本项目限定教学研发，保留原作者署名、来源、许可链接与改动说明。抽样副本只重命名，字节和尺寸不变；模型预处理与缩略图是另外的派生表示。[2–5]</w:t>
      </w:r>
    </w:p>
    <w:p w14:paraId="17466E33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本地目录与常见 Kaggle 包的结构、命名及数量一致，但没有下载凭证或发布者逐文件校验记录。因此来源匹配是结构性判断，正式提交宜补充原下载记录。公开版本使用匿名化编号，本项目没有接入私人病例；未对全部图片完成烧录文字去标识化认证。</w:t>
      </w:r>
    </w:p>
    <w:tbl>
      <w:tblPr>
        <w:tblStyle w:val="16"/>
        <w:tblW w:w="10224" w:type="dxa"/>
        <w:jc w:val="center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2474"/>
        <w:gridCol w:w="2475"/>
        <w:gridCol w:w="2475"/>
      </w:tblGrid>
      <w:tr w14:paraId="15767661">
        <w:trPr>
          <w:cantSplit/>
          <w:tblHeader/>
          <w:jc w:val="center"/>
        </w:trPr>
        <w:tc>
          <w:tcPr>
            <w:tcW w:w="2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3341AE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原始分区</w:t>
            </w:r>
          </w:p>
        </w:tc>
        <w:tc>
          <w:tcPr>
            <w:tcW w:w="24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070A0B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NORMAL</w:t>
            </w:r>
          </w:p>
        </w:tc>
        <w:tc>
          <w:tcPr>
            <w:tcW w:w="24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2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PNEUMONIA</w:t>
            </w:r>
          </w:p>
        </w:tc>
        <w:tc>
          <w:tcPr>
            <w:tcW w:w="24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3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合计</w:t>
            </w:r>
          </w:p>
        </w:tc>
      </w:tr>
      <w:tr w14:paraId="76D140E3">
        <w:trPr>
          <w:cantSplit/>
          <w:jc w:val="center"/>
        </w:trPr>
        <w:tc>
          <w:tcPr>
            <w:tcW w:w="2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F857DD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train</w:t>
            </w:r>
          </w:p>
        </w:tc>
        <w:tc>
          <w:tcPr>
            <w:tcW w:w="24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3211FC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1,341</w:t>
            </w:r>
          </w:p>
        </w:tc>
        <w:tc>
          <w:tcPr>
            <w:tcW w:w="24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6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3,875</w:t>
            </w:r>
          </w:p>
        </w:tc>
        <w:tc>
          <w:tcPr>
            <w:tcW w:w="24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7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5,216</w:t>
            </w:r>
          </w:p>
        </w:tc>
      </w:tr>
      <w:tr w14:paraId="24810A79">
        <w:trPr>
          <w:cantSplit/>
          <w:jc w:val="center"/>
        </w:trPr>
        <w:tc>
          <w:tcPr>
            <w:tcW w:w="2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446645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val</w:t>
            </w:r>
          </w:p>
        </w:tc>
        <w:tc>
          <w:tcPr>
            <w:tcW w:w="24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F0C971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8</w:t>
            </w:r>
          </w:p>
        </w:tc>
        <w:tc>
          <w:tcPr>
            <w:tcW w:w="24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A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8</w:t>
            </w:r>
          </w:p>
        </w:tc>
        <w:tc>
          <w:tcPr>
            <w:tcW w:w="24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B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16</w:t>
            </w:r>
          </w:p>
        </w:tc>
      </w:tr>
      <w:tr w14:paraId="6B720E5F">
        <w:trPr>
          <w:cantSplit/>
          <w:jc w:val="center"/>
        </w:trPr>
        <w:tc>
          <w:tcPr>
            <w:tcW w:w="2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17154D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test</w:t>
            </w:r>
          </w:p>
        </w:tc>
        <w:tc>
          <w:tcPr>
            <w:tcW w:w="24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4EC206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234</w:t>
            </w:r>
          </w:p>
        </w:tc>
        <w:tc>
          <w:tcPr>
            <w:tcW w:w="24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2341EE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390</w:t>
            </w:r>
          </w:p>
        </w:tc>
        <w:tc>
          <w:tcPr>
            <w:tcW w:w="24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8EF216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624</w:t>
            </w:r>
          </w:p>
        </w:tc>
      </w:tr>
      <w:tr w14:paraId="3C2F240F">
        <w:trPr>
          <w:cantSplit/>
          <w:jc w:val="center"/>
        </w:trPr>
        <w:tc>
          <w:tcPr>
            <w:tcW w:w="2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354880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合计</w:t>
            </w:r>
          </w:p>
        </w:tc>
        <w:tc>
          <w:tcPr>
            <w:tcW w:w="247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4E32B5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1,583</w:t>
            </w:r>
          </w:p>
        </w:tc>
        <w:tc>
          <w:tcPr>
            <w:tcW w:w="24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444172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4,273</w:t>
            </w:r>
          </w:p>
        </w:tc>
        <w:tc>
          <w:tcPr>
            <w:tcW w:w="24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0081BD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5,856</w:t>
            </w:r>
          </w:p>
        </w:tc>
      </w:tr>
    </w:tbl>
    <w:p w14:paraId="6F86C47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270" w:lineRule="auto"/>
        <w:ind w:left="0" w:right="0" w:firstLine="0"/>
        <w:jc w:val="left"/>
        <w:rPr>
          <w:rFonts w:ascii="Helvetica Neue" w:hAnsi="Helvetica Neue" w:eastAsia="Helvetica Neue" w:cs="Helvetica Neue"/>
          <w:color w:val="082A4A"/>
        </w:rPr>
      </w:pPr>
    </w:p>
    <w:p w14:paraId="26AC3876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只扫描 chest_xray/train、val、test 下两类文件夹的直接子文件。嵌套的 chest_xray/chest_xray 是另一份副本，__MACOSX 是解压附带资源；两者及隐藏文件均排除。公开页面数量描述可能不同，本项目采用实际可解码图片数。</w:t>
      </w:r>
    </w:p>
    <w:tbl>
      <w:tblPr>
        <w:tblStyle w:val="16"/>
        <w:tblW w:w="10224" w:type="dxa"/>
        <w:jc w:val="center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900"/>
        <w:gridCol w:w="1900"/>
        <w:gridCol w:w="4224"/>
      </w:tblGrid>
      <w:tr w14:paraId="4E69CDD2">
        <w:trPr>
          <w:cantSplit/>
          <w:tblHeader/>
          <w:jc w:val="center"/>
        </w:trPr>
        <w:tc>
          <w:tcPr>
            <w:tcW w:w="22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07E474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小样本分区</w:t>
            </w:r>
          </w:p>
        </w:tc>
        <w:tc>
          <w:tcPr>
            <w:tcW w:w="19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432204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NORMAL</w:t>
            </w:r>
          </w:p>
        </w:tc>
        <w:tc>
          <w:tcPr>
            <w:tcW w:w="19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7A60EF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PNEUMONIA</w:t>
            </w:r>
          </w:p>
        </w:tc>
        <w:tc>
          <w:tcPr>
            <w:tcW w:w="42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66753B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用途</w:t>
            </w:r>
          </w:p>
        </w:tc>
      </w:tr>
      <w:tr w14:paraId="2B31ACDD">
        <w:trPr>
          <w:cantSplit/>
          <w:jc w:val="center"/>
        </w:trPr>
        <w:tc>
          <w:tcPr>
            <w:tcW w:w="22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EADB83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train</w:t>
            </w:r>
          </w:p>
        </w:tc>
        <w:tc>
          <w:tcPr>
            <w:tcW w:w="19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35EAE1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120</w:t>
            </w:r>
          </w:p>
        </w:tc>
        <w:tc>
          <w:tcPr>
            <w:tcW w:w="19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DD4286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120</w:t>
            </w:r>
          </w:p>
        </w:tc>
        <w:tc>
          <w:tcPr>
            <w:tcW w:w="42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6027EA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拟合模型与标准化参数</w:t>
            </w:r>
          </w:p>
        </w:tc>
      </w:tr>
      <w:tr w14:paraId="77337835">
        <w:trPr>
          <w:cantSplit/>
          <w:jc w:val="center"/>
        </w:trPr>
        <w:tc>
          <w:tcPr>
            <w:tcW w:w="22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D2D9DB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val</w:t>
            </w:r>
          </w:p>
        </w:tc>
        <w:tc>
          <w:tcPr>
            <w:tcW w:w="19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34A3EC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40</w:t>
            </w:r>
          </w:p>
        </w:tc>
        <w:tc>
          <w:tcPr>
            <w:tcW w:w="19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922511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40</w:t>
            </w:r>
          </w:p>
        </w:tc>
        <w:tc>
          <w:tcPr>
            <w:tcW w:w="42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0B8A19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开发阶段合理性检查</w:t>
            </w:r>
          </w:p>
        </w:tc>
      </w:tr>
      <w:tr w14:paraId="0A0F26F9">
        <w:trPr>
          <w:cantSplit/>
          <w:jc w:val="center"/>
        </w:trPr>
        <w:tc>
          <w:tcPr>
            <w:tcW w:w="22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78BAEB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test</w:t>
            </w:r>
          </w:p>
        </w:tc>
        <w:tc>
          <w:tcPr>
            <w:tcW w:w="19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FC2B13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40</w:t>
            </w:r>
          </w:p>
        </w:tc>
        <w:tc>
          <w:tcPr>
            <w:tcW w:w="19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E06673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40</w:t>
            </w:r>
          </w:p>
        </w:tc>
        <w:tc>
          <w:tcPr>
            <w:tcW w:w="42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4635C0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冻结设置后的结果评估</w:t>
            </w:r>
          </w:p>
        </w:tc>
      </w:tr>
    </w:tbl>
    <w:p w14:paraId="2589DD4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270" w:lineRule="auto"/>
        <w:ind w:left="0" w:right="0" w:firstLine="0"/>
        <w:jc w:val="left"/>
        <w:rPr>
          <w:rFonts w:ascii="Helvetica Neue" w:hAnsi="Helvetica Neue" w:eastAsia="Helvetica Neue" w:cs="Helvetica Neue"/>
          <w:color w:val="082A4A"/>
        </w:rPr>
      </w:pPr>
    </w:p>
    <w:p w14:paraId="7B5FDDAF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400 张占有效源图片约 6.8%，图片合计 125,849,218 字节，约 120.02 MiB。两类被有意平衡以便教学比较，因此该比例不能视为现实患病率。</w:t>
      </w:r>
    </w:p>
    <w:p w14:paraId="5059E301">
      <w:pPr>
        <w:pStyle w:val="2"/>
        <w:pageBreakBefore/>
        <w:pBdr>
          <w:top w:val="none" w:color="2F6B9A" w:sz="0" w:space="2"/>
          <w:left w:val="none" w:color="2F6B9A" w:sz="0" w:space="2"/>
          <w:bottom w:val="none" w:color="2F6B9A" w:sz="0" w:space="2"/>
          <w:right w:val="none" w:color="2F6B9A" w:sz="0" w:space="2"/>
        </w:pBdr>
        <w:spacing w:before="0" w:after="130" w:line="285" w:lineRule="auto"/>
        <w:rPr>
          <w:rFonts w:ascii="Helvetica Neue" w:hAnsi="Helvetica Neue" w:eastAsia="Helvetica Neue" w:cs="Helvetica Neue"/>
          <w:color w:val="000000"/>
        </w:rPr>
      </w:pPr>
      <w:r>
        <w:rPr>
          <w:rFonts w:ascii="Helvetica Neue" w:hAnsi="Helvetica Neue" w:eastAsia="Heiti SC"/>
          <w:color w:val="082A4A"/>
        </w:rPr>
        <w:t>3 分组抽样与数据审计</w:t>
      </w:r>
    </w:p>
    <w:p w14:paraId="42F8E99B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同一患者或检查的相似图像如果同时出现在训练集和测试集，会使评估过于乐观。本项目在模型训练前固定划分，并同时利用文件名代理组与重复像素信息约束抽样。</w:t>
      </w:r>
    </w:p>
    <w:p w14:paraId="62E45FBC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第一步 规范读取</w:t>
      </w:r>
    </w:p>
    <w:p w14:paraId="62883A04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对 5,856 张规范目录图片逐张完整解码，记录原始尺寸与模式，并计算文件 SHA-256 和带尺寸的灰度像素哈希。遇到损坏图像或无法识别的命名规则，脚本记录错误并停止。首次遇到 person447_virus_921_1.jpeg 的额外序号后，补充规则使其仍归入 person447，随后全量检查通过。</w:t>
      </w:r>
    </w:p>
    <w:p w14:paraId="3ECA55BD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第二步 构建关联分组</w:t>
      </w:r>
    </w:p>
    <w:p w14:paraId="33D3252F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person123_bacteria_* 和 person123_virus_* 归入同一个 person123 代理组。IM-0123-* 和 NORMAL2-IM-0123-* 分别保留命名空间，并合并其图像序号。任意两张图片只要代理编号相同或灰度像素完全相同就连接，同一连通组统一处理。若组内出现冲突标签，则整组排除。</w:t>
      </w:r>
    </w:p>
    <w:p w14:paraId="664DC36B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第三步 保留测试来源并抽样</w:t>
      </w:r>
    </w:p>
    <w:p w14:paraId="702630D2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任何含原 test 图像的关联组只进入测试候选池，其关联 train/val 图片从开发池排除。其余原 train 与 val 合并为开发池，避免依赖原本只有 16 张的验证集。固定种子 20260907 后按哈希排序，每组最多取一张，每类分别选 train 120、val 40、test 40 张。</w:t>
      </w:r>
    </w:p>
    <w:tbl>
      <w:tblPr>
        <w:tblStyle w:val="16"/>
        <w:tblW w:w="10224" w:type="dxa"/>
        <w:jc w:val="center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0"/>
        <w:gridCol w:w="1900"/>
        <w:gridCol w:w="5224"/>
      </w:tblGrid>
      <w:tr w14:paraId="15EF700E">
        <w:trPr>
          <w:cantSplit/>
          <w:tblHeader/>
          <w:jc w:val="center"/>
        </w:trPr>
        <w:tc>
          <w:tcPr>
            <w:tcW w:w="31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F0045D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审计项</w:t>
            </w:r>
          </w:p>
        </w:tc>
        <w:tc>
          <w:tcPr>
            <w:tcW w:w="19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39DA93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实际结果</w:t>
            </w:r>
          </w:p>
        </w:tc>
        <w:tc>
          <w:tcPr>
            <w:tcW w:w="52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97487A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解释</w:t>
            </w:r>
          </w:p>
        </w:tc>
      </w:tr>
      <w:tr w14:paraId="37EE6AA4">
        <w:trPr>
          <w:cantSplit/>
          <w:jc w:val="center"/>
        </w:trPr>
        <w:tc>
          <w:tcPr>
            <w:tcW w:w="31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D6260A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解码错误与标签冲突</w:t>
            </w:r>
          </w:p>
        </w:tc>
        <w:tc>
          <w:tcPr>
            <w:tcW w:w="19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45CC5D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0 与 0</w:t>
            </w:r>
          </w:p>
        </w:tc>
        <w:tc>
          <w:tcPr>
            <w:tcW w:w="52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1F8A79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最终全量扫描结果</w:t>
            </w:r>
          </w:p>
        </w:tc>
      </w:tr>
      <w:tr w14:paraId="73105A00">
        <w:trPr>
          <w:cantSplit/>
          <w:jc w:val="center"/>
        </w:trPr>
        <w:tc>
          <w:tcPr>
            <w:tcW w:w="31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FB18BC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文件与像素重复组</w:t>
            </w:r>
          </w:p>
        </w:tc>
        <w:tc>
          <w:tcPr>
            <w:tcW w:w="19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901CB3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30 与 30</w:t>
            </w:r>
          </w:p>
        </w:tc>
        <w:tc>
          <w:tcPr>
            <w:tcW w:w="52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7F2895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这是组数  不是重复图像张数</w:t>
            </w:r>
          </w:p>
        </w:tc>
      </w:tr>
      <w:tr w14:paraId="3718190D">
        <w:trPr>
          <w:cantSplit/>
          <w:jc w:val="center"/>
        </w:trPr>
        <w:tc>
          <w:tcPr>
            <w:tcW w:w="31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2C57D6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连接后的代理分组</w:t>
            </w:r>
          </w:p>
        </w:tc>
        <w:tc>
          <w:tcPr>
            <w:tcW w:w="19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02834C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3,117</w:t>
            </w:r>
          </w:p>
        </w:tc>
        <w:tc>
          <w:tcPr>
            <w:tcW w:w="52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7D3D59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按编号或像素关系合并</w:t>
            </w:r>
          </w:p>
        </w:tc>
      </w:tr>
      <w:tr w14:paraId="496DD503">
        <w:trPr>
          <w:cantSplit/>
          <w:jc w:val="center"/>
        </w:trPr>
        <w:tc>
          <w:tcPr>
            <w:tcW w:w="31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BDB304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开发图片保守排除</w:t>
            </w:r>
          </w:p>
        </w:tc>
        <w:tc>
          <w:tcPr>
            <w:tcW w:w="19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46691E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457 张</w:t>
            </w:r>
          </w:p>
        </w:tc>
        <w:tc>
          <w:tcPr>
            <w:tcW w:w="52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7127CE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与原测试组存在代理或像素关联</w:t>
            </w:r>
          </w:p>
        </w:tc>
      </w:tr>
      <w:tr w14:paraId="1A7F9DCE">
        <w:trPr>
          <w:cantSplit/>
          <w:jc w:val="center"/>
        </w:trPr>
        <w:tc>
          <w:tcPr>
            <w:tcW w:w="31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2140DB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最终跨集交集</w:t>
            </w:r>
          </w:p>
        </w:tc>
        <w:tc>
          <w:tcPr>
            <w:tcW w:w="19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E429B7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均为 0</w:t>
            </w:r>
          </w:p>
        </w:tc>
        <w:tc>
          <w:tcPr>
            <w:tcW w:w="52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8327DF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代理组  连通组  文件哈希  像素哈希</w:t>
            </w:r>
          </w:p>
        </w:tc>
      </w:tr>
      <w:tr w14:paraId="116AB305">
        <w:trPr>
          <w:cantSplit/>
          <w:jc w:val="center"/>
        </w:trPr>
        <w:tc>
          <w:tcPr>
            <w:tcW w:w="31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B4DA6F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副本一致性</w:t>
            </w:r>
          </w:p>
        </w:tc>
        <w:tc>
          <w:tcPr>
            <w:tcW w:w="19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FEB323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400 张通过</w:t>
            </w:r>
          </w:p>
        </w:tc>
        <w:tc>
          <w:tcPr>
            <w:tcW w:w="52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E39164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复制后校验原始字节</w:t>
            </w:r>
          </w:p>
        </w:tc>
      </w:tr>
    </w:tbl>
    <w:p w14:paraId="1299D7F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270" w:lineRule="auto"/>
        <w:ind w:left="0" w:right="0" w:firstLine="0"/>
        <w:jc w:val="left"/>
        <w:rPr>
          <w:rFonts w:ascii="Helvetica Neue" w:hAnsi="Helvetica Neue" w:eastAsia="Helvetica Neue" w:cs="Helvetica Neue"/>
          <w:color w:val="082A4A"/>
        </w:rPr>
      </w:pPr>
    </w:p>
    <w:p w14:paraId="7F469AFE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代理编号不是经过核实的真实患者标识。编号可能复用，不同命名空间也可能包含同一人；457 张关联图片不能被解释为 457 个真实患者泄漏。正式研究仍需匿名 patient_id、study_id 映射，按真实患者归组，并审查裁剪、压缩后的近重复。</w:t>
      </w:r>
    </w:p>
    <w:p w14:paraId="3D2AC7AE">
      <w:pPr>
        <w:pStyle w:val="2"/>
        <w:pageBreakBefore/>
        <w:pBdr>
          <w:top w:val="none" w:color="2F6B9A" w:sz="0" w:space="2"/>
          <w:left w:val="none" w:color="2F6B9A" w:sz="0" w:space="2"/>
          <w:bottom w:val="none" w:color="2F6B9A" w:sz="0" w:space="2"/>
          <w:right w:val="none" w:color="2F6B9A" w:sz="0" w:space="2"/>
        </w:pBdr>
        <w:spacing w:before="0" w:after="130" w:line="285" w:lineRule="auto"/>
        <w:rPr>
          <w:rFonts w:ascii="Helvetica Neue" w:hAnsi="Helvetica Neue" w:eastAsia="Helvetica Neue" w:cs="Helvetica Neue"/>
          <w:color w:val="000000"/>
        </w:rPr>
      </w:pPr>
      <w:r>
        <w:rPr>
          <w:rFonts w:ascii="Helvetica Neue" w:hAnsi="Helvetica Neue" w:eastAsia="Heiti SC"/>
          <w:color w:val="082A4A"/>
        </w:rPr>
        <w:t>4 系统结构与模型选择</w:t>
      </w:r>
    </w:p>
    <w:p w14:paraId="0F853EA9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系统由数据准备、特征预处理、模型训练和结果检查四部分组成。输入目录只被读取；抽样清单负责追溯，模型只读取图像像素，预测结果与标签比较用于研发评估。</w:t>
      </w:r>
    </w:p>
    <w:p w14:paraId="0000003B">
      <w:pPr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lvetica Neue" w:cs="Helvetica Neue"/>
        </w:rPr>
        <w:drawing>
          <wp:inline distT="0" distB="0" distL="0" distR="0">
            <wp:extent cx="6324600" cy="2283460"/>
            <wp:effectExtent l="0" t="0" r="0" b="0"/>
            <wp:docPr id="1" name="image1.png" descr="公开胸片经分组抽样得到固定子集，再经二维逻辑回归输出类别分数与评估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公开胸片经分组抽样得到固定子集，再经二维逻辑回归输出类别分数与评估。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28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165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270" w:lineRule="auto"/>
        <w:ind w:left="0" w:right="0" w:firstLine="0"/>
        <w:jc w:val="left"/>
        <w:rPr>
          <w:rFonts w:ascii="Helvetica Neue" w:hAnsi="Helvetica Neue" w:eastAsia="Helvetica Neue" w:cs="Helvetica Neue"/>
          <w:color w:val="082A4A"/>
        </w:rPr>
      </w:pPr>
      <w:r>
        <w:rPr>
          <w:rFonts w:ascii="Helvetica Neue" w:hAnsi="Helvetica Neue" w:eastAsia="Heiti SC"/>
          <w:color w:val="233447"/>
        </w:rPr>
        <w:t>图 1 数据流  原始标签只用于监督与评估  文件名不作为模型输入</w:t>
      </w:r>
    </w:p>
    <w:p w14:paraId="484A0610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为什么先选择逻辑回归</w:t>
      </w:r>
    </w:p>
    <w:p w14:paraId="436FF54C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逻辑回归是一种监督学习线性分类模型，参数少、计算成本低，能在 CPU 上完成小样本训练。它适合作为容易检查的起点，用来确认读取、标签、标准化、划分和指标连通。当前有 256 个特征权重和 1 个偏置，共 257 个可学习参数，不需要下载预训练权重。</w:t>
      </w:r>
    </w:p>
    <w:tbl>
      <w:tblPr>
        <w:tblStyle w:val="16"/>
        <w:tblW w:w="10224" w:type="dxa"/>
        <w:jc w:val="center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0"/>
        <w:gridCol w:w="4824"/>
        <w:gridCol w:w="2300"/>
      </w:tblGrid>
      <w:tr w14:paraId="455793C5">
        <w:trPr>
          <w:cantSplit/>
          <w:tblHeader/>
          <w:jc w:val="center"/>
        </w:trPr>
        <w:tc>
          <w:tcPr>
            <w:tcW w:w="31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363EA9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候选方式</w:t>
            </w:r>
          </w:p>
        </w:tc>
        <w:tc>
          <w:tcPr>
            <w:tcW w:w="48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653A6A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取舍</w:t>
            </w:r>
          </w:p>
        </w:tc>
        <w:tc>
          <w:tcPr>
            <w:tcW w:w="23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E9A88A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项目状态</w:t>
            </w:r>
          </w:p>
        </w:tc>
      </w:tr>
      <w:tr w14:paraId="0E635A89">
        <w:trPr>
          <w:cantSplit/>
          <w:jc w:val="center"/>
        </w:trPr>
        <w:tc>
          <w:tcPr>
            <w:tcW w:w="31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454EAE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2D 像素逻辑回归</w:t>
            </w:r>
          </w:p>
        </w:tc>
        <w:tc>
          <w:tcPr>
            <w:tcW w:w="48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F41541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简单且可检查  细节表征有限</w:t>
            </w:r>
          </w:p>
        </w:tc>
        <w:tc>
          <w:tcPr>
            <w:tcW w:w="23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BB0DA9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已实现并运行</w:t>
            </w:r>
          </w:p>
        </w:tc>
      </w:tr>
      <w:tr w14:paraId="6960A5ED">
        <w:trPr>
          <w:cantSplit/>
          <w:jc w:val="center"/>
        </w:trPr>
        <w:tc>
          <w:tcPr>
            <w:tcW w:w="31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8F1DD9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224×224 的 2D 编码器</w:t>
            </w:r>
          </w:p>
        </w:tc>
        <w:tc>
          <w:tcPr>
            <w:tcW w:w="48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E90E71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可能捕获更丰富空间特征  需验证</w:t>
            </w:r>
          </w:p>
        </w:tc>
        <w:tc>
          <w:tcPr>
            <w:tcW w:w="23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27E52B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后续设计</w:t>
            </w:r>
          </w:p>
        </w:tc>
      </w:tr>
      <w:tr w14:paraId="35413D2D">
        <w:trPr>
          <w:cantSplit/>
          <w:jc w:val="center"/>
        </w:trPr>
        <w:tc>
          <w:tcPr>
            <w:tcW w:w="31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A4D505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2.5D 或 3D</w:t>
            </w:r>
          </w:p>
        </w:tc>
        <w:tc>
          <w:tcPr>
            <w:tcW w:w="48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E2714B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本地单张投影 JPEG 无切片或体数据</w:t>
            </w:r>
          </w:p>
        </w:tc>
        <w:tc>
          <w:tcPr>
            <w:tcW w:w="23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6D4DA7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本项目不采用</w:t>
            </w:r>
          </w:p>
        </w:tc>
      </w:tr>
    </w:tbl>
    <w:p w14:paraId="07C0B30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270" w:lineRule="auto"/>
        <w:ind w:left="0" w:right="0" w:firstLine="0"/>
        <w:jc w:val="left"/>
        <w:rPr>
          <w:rFonts w:ascii="Helvetica Neue" w:hAnsi="Helvetica Neue" w:eastAsia="Helvetica Neue" w:cs="Helvetica Neue"/>
          <w:color w:val="082A4A"/>
        </w:rPr>
      </w:pPr>
    </w:p>
    <w:p w14:paraId="55BE18D8">
      <w:pPr>
        <w:pStyle w:val="2"/>
        <w:pageBreakBefore/>
        <w:pBdr>
          <w:top w:val="none" w:color="2F6B9A" w:sz="0" w:space="2"/>
          <w:left w:val="none" w:color="2F6B9A" w:sz="0" w:space="2"/>
          <w:bottom w:val="none" w:color="2F6B9A" w:sz="0" w:space="2"/>
          <w:right w:val="none" w:color="2F6B9A" w:sz="0" w:space="2"/>
        </w:pBdr>
        <w:spacing w:before="0" w:after="130" w:line="285" w:lineRule="auto"/>
        <w:rPr>
          <w:rFonts w:ascii="Helvetica Neue" w:hAnsi="Helvetica Neue" w:eastAsia="Helvetica Neue" w:cs="Helvetica Neue"/>
          <w:color w:val="000000"/>
        </w:rPr>
      </w:pPr>
      <w:r>
        <w:rPr>
          <w:rFonts w:ascii="Helvetica Neue" w:hAnsi="Helvetica Neue" w:eastAsia="Heiti SC"/>
          <w:color w:val="082A4A"/>
        </w:rPr>
        <w:t>5 图像特征与预测原理</w:t>
      </w:r>
    </w:p>
    <w:p w14:paraId="68DF17FB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原始标签与模型预测的区别</w:t>
      </w:r>
    </w:p>
    <w:p w14:paraId="228E6C54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NORMAL / PNEUMONIA 文件夹给出数据集的参考标签。训练时，脚本将它们编码为 0 和 1；预测时，模型根据像素生成分数。两者可能不一致，这些不一致构成假阳性与假阴性。文件名中的 bacteria、virus 等词直接暴露类别，因此不能当作辅助文本或输入特征。</w:t>
      </w:r>
    </w:p>
    <w:p w14:paraId="08821C51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从图像到 256 维特征</w:t>
      </w:r>
    </w:p>
    <w:p w14:paraId="5FF7FC71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首先完整解码 JPEG 并转为单通道灰度，再使用双线性插值等比例缩放、居中补黑到 16×16。这样保留完整视野且避免直接拉伸长宽比例；但补黑与整体形状也可能形成捷径。原始副本仍保留原尺寸，16×16 只在模型输入阶段生成。</w:t>
      </w:r>
    </w:p>
    <w:p w14:paraId="09B57FAF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每个像素除以 255，随后按固定顺序展开成 256 维向量。逐维均值与标准差仅从 240 张训练图片计算，标准差下限为 0.000001；训练、验证、测试均用这组统计量标准化。这避免了测试数据参与特征统计。</w:t>
      </w:r>
    </w:p>
    <w:p w14:paraId="0C468803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分数如何计算</w:t>
      </w:r>
    </w:p>
    <w:p w14:paraId="2D18DF93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模型先对 256 个标准化像素做加权求和并加上偏置，再用 sigmoid 函数把结果转换为 0 到 1 的分数。权重决定各像素位置对分数的影响；它不是病灶边界，也不直接表示医学上的因果作用。</w:t>
      </w:r>
    </w:p>
    <w:p w14:paraId="0F1DD108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m:oMathPara>
        <m:oMath>
          <m:r>
            <m:rPr/>
            <m:t>p = sigmoid(</m:t>
          </m:r>
          <m:sSup>
            <m:sSupPr/>
            <m:e>
              <m:r>
                <m:rPr/>
                <m:t>w</m:t>
              </m:r>
            </m:e>
            <m:sup>
              <m:r>
                <m:rPr/>
                <m:t>T</m:t>
              </m:r>
            </m:sup>
          </m:sSup>
          <m:r>
            <m:rPr/>
            <m:t>x + b)</m:t>
          </m:r>
        </m:oMath>
      </m:oMathPara>
    </w:p>
    <w:p w14:paraId="7E9755D0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式中 x 为 256 维特征，w 为特征权重，b 为偏置，p 为 PNEUMONIA 类别分数。分数达到 0.5 时输出 PNEUMONIA，否则输出 NORMAL。该阈值在查看验证和测试表现前固定，分数未做概率校准，不能解释为个人患病概率。</w:t>
      </w:r>
    </w:p>
    <w:p w14:paraId="7F4E3744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这个起点的主要局限</w:t>
      </w:r>
    </w:p>
    <w:p w14:paraId="2F97CF59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16×16 会丢失局部纹理，逻辑回归也缺乏卷积模型的空间表征能力，容易依赖整体亮度、胸廓形状、暗边与文字标记。因此此实验不证明模型识别了病灶，后续应在更高分辨率和质量控制条件下验证。没有框或掩膜，也就不能据此报告小病灶召回率。</w:t>
      </w:r>
    </w:p>
    <w:p w14:paraId="42058D17">
      <w:pPr>
        <w:pStyle w:val="2"/>
        <w:pageBreakBefore/>
        <w:pBdr>
          <w:top w:val="none" w:color="2F6B9A" w:sz="0" w:space="2"/>
          <w:left w:val="none" w:color="2F6B9A" w:sz="0" w:space="2"/>
          <w:bottom w:val="none" w:color="2F6B9A" w:sz="0" w:space="2"/>
          <w:right w:val="none" w:color="2F6B9A" w:sz="0" w:space="2"/>
        </w:pBdr>
        <w:spacing w:before="0" w:after="130" w:line="285" w:lineRule="auto"/>
        <w:rPr>
          <w:rFonts w:ascii="Helvetica Neue" w:hAnsi="Helvetica Neue" w:eastAsia="Helvetica Neue" w:cs="Helvetica Neue"/>
          <w:color w:val="000000"/>
        </w:rPr>
      </w:pPr>
      <w:r>
        <w:rPr>
          <w:rFonts w:ascii="Helvetica Neue" w:hAnsi="Helvetica Neue" w:eastAsia="Heiti SC"/>
          <w:color w:val="082A4A"/>
        </w:rPr>
        <w:t>6 训练过程与固定配置</w:t>
      </w:r>
    </w:p>
    <w:p w14:paraId="6A11FDD5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训练目标是让类别分数接近已知标签。实现使用加权二元交叉熵衡量预测误差，并加入 L2 正则化惩罚较大的特征权重；偏置不被惩罚。类别权重按训练样本总数除以两倍该类样本数计算，本次两类均为 120 张，所以权重都是 1。</w:t>
      </w:r>
    </w:p>
    <w:tbl>
      <w:tblPr>
        <w:tblStyle w:val="16"/>
        <w:tblW w:w="10224" w:type="dxa"/>
        <w:jc w:val="center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2600"/>
        <w:gridCol w:w="4624"/>
      </w:tblGrid>
      <w:tr w14:paraId="179A0A04">
        <w:trPr>
          <w:cantSplit/>
          <w:tblHeader/>
          <w:jc w:val="center"/>
        </w:trPr>
        <w:tc>
          <w:tcPr>
            <w:tcW w:w="3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2CBA5C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训练项</w:t>
            </w:r>
          </w:p>
        </w:tc>
        <w:tc>
          <w:tcPr>
            <w:tcW w:w="26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9D427C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本次值</w:t>
            </w:r>
          </w:p>
        </w:tc>
        <w:tc>
          <w:tcPr>
            <w:tcW w:w="46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2CC4D1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含义</w:t>
            </w:r>
          </w:p>
        </w:tc>
      </w:tr>
      <w:tr w14:paraId="6F1E7E27">
        <w:trPr>
          <w:cantSplit/>
          <w:jc w:val="center"/>
        </w:trPr>
        <w:tc>
          <w:tcPr>
            <w:tcW w:w="3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01A46E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训练规模</w:t>
            </w:r>
          </w:p>
        </w:tc>
        <w:tc>
          <w:tcPr>
            <w:tcW w:w="26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76671E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240×256</w:t>
            </w:r>
          </w:p>
        </w:tc>
        <w:tc>
          <w:tcPr>
            <w:tcW w:w="46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834113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240 个样本  每样本 256 维</w:t>
            </w:r>
          </w:p>
        </w:tc>
      </w:tr>
      <w:tr w14:paraId="0EBDE2E9">
        <w:trPr>
          <w:cantSplit/>
          <w:jc w:val="center"/>
        </w:trPr>
        <w:tc>
          <w:tcPr>
            <w:tcW w:w="3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0C3C1E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参数初始化</w:t>
            </w:r>
          </w:p>
        </w:tc>
        <w:tc>
          <w:tcPr>
            <w:tcW w:w="26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8B519E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全部为 0</w:t>
            </w:r>
          </w:p>
        </w:tc>
        <w:tc>
          <w:tcPr>
            <w:tcW w:w="46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52F694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含特征权重与偏置</w:t>
            </w:r>
          </w:p>
        </w:tc>
      </w:tr>
      <w:tr w14:paraId="4247F2BA">
        <w:trPr>
          <w:cantSplit/>
          <w:jc w:val="center"/>
        </w:trPr>
        <w:tc>
          <w:tcPr>
            <w:tcW w:w="3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779778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优化方式</w:t>
            </w:r>
          </w:p>
        </w:tc>
        <w:tc>
          <w:tcPr>
            <w:tcW w:w="26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51B795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全批量梯度下降</w:t>
            </w:r>
          </w:p>
        </w:tc>
        <w:tc>
          <w:tcPr>
            <w:tcW w:w="46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393A3C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每步使用全部训练样本</w:t>
            </w:r>
          </w:p>
        </w:tc>
      </w:tr>
      <w:tr w14:paraId="06845CF6">
        <w:trPr>
          <w:cantSplit/>
          <w:jc w:val="center"/>
        </w:trPr>
        <w:tc>
          <w:tcPr>
            <w:tcW w:w="3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59F4E0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迭代次数</w:t>
            </w:r>
          </w:p>
        </w:tc>
        <w:tc>
          <w:tcPr>
            <w:tcW w:w="26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14D129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1,500</w:t>
            </w:r>
          </w:p>
        </w:tc>
        <w:tc>
          <w:tcPr>
            <w:tcW w:w="46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8D84A2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固定步数  未启用早停</w:t>
            </w:r>
          </w:p>
        </w:tc>
      </w:tr>
      <w:tr w14:paraId="249B040D">
        <w:trPr>
          <w:cantSplit/>
          <w:jc w:val="center"/>
        </w:trPr>
        <w:tc>
          <w:tcPr>
            <w:tcW w:w="3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EBAAC3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L2 系数</w:t>
            </w:r>
          </w:p>
        </w:tc>
        <w:tc>
          <w:tcPr>
            <w:tcW w:w="26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6DE06C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0.01</w:t>
            </w:r>
          </w:p>
        </w:tc>
        <w:tc>
          <w:tcPr>
            <w:tcW w:w="46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634402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限制特征权重的大小</w:t>
            </w:r>
          </w:p>
        </w:tc>
      </w:tr>
      <w:tr w14:paraId="74845F92">
        <w:trPr>
          <w:cantSplit/>
          <w:jc w:val="center"/>
        </w:trPr>
        <w:tc>
          <w:tcPr>
            <w:tcW w:w="3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25DAF6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学习率</w:t>
            </w:r>
          </w:p>
        </w:tc>
        <w:tc>
          <w:tcPr>
            <w:tcW w:w="26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D38DD3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约 0.01556</w:t>
            </w:r>
          </w:p>
        </w:tc>
        <w:tc>
          <w:tcPr>
            <w:tcW w:w="46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CE701A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由训练特征的曲率上界计算</w:t>
            </w:r>
          </w:p>
        </w:tc>
      </w:tr>
      <w:tr w14:paraId="6B9B2170">
        <w:trPr>
          <w:cantSplit/>
          <w:jc w:val="center"/>
        </w:trPr>
        <w:tc>
          <w:tcPr>
            <w:tcW w:w="3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5AF37F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阈值</w:t>
            </w:r>
          </w:p>
        </w:tc>
        <w:tc>
          <w:tcPr>
            <w:tcW w:w="26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BC70EE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0.5</w:t>
            </w:r>
          </w:p>
        </w:tc>
        <w:tc>
          <w:tcPr>
            <w:tcW w:w="46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CD30A2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预先固定  本轮没有阈值搜索</w:t>
            </w:r>
          </w:p>
        </w:tc>
      </w:tr>
      <w:tr w14:paraId="098C0084">
        <w:trPr>
          <w:cantSplit/>
          <w:jc w:val="center"/>
        </w:trPr>
        <w:tc>
          <w:tcPr>
            <w:tcW w:w="3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CEA521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数据增强与预训练</w:t>
            </w:r>
          </w:p>
        </w:tc>
        <w:tc>
          <w:tcPr>
            <w:tcW w:w="26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D2886A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均未使用</w:t>
            </w:r>
          </w:p>
        </w:tc>
        <w:tc>
          <w:tcPr>
            <w:tcW w:w="46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F14B65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不依赖 GPU 或外部模型</w:t>
            </w:r>
          </w:p>
        </w:tc>
      </w:tr>
    </w:tbl>
    <w:p w14:paraId="071891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270" w:lineRule="auto"/>
        <w:ind w:left="0" w:right="0" w:firstLine="0"/>
        <w:jc w:val="left"/>
        <w:rPr>
          <w:rFonts w:ascii="Helvetica Neue" w:hAnsi="Helvetica Neue" w:eastAsia="Helvetica Neue" w:cs="Helvetica Neue"/>
          <w:color w:val="082A4A"/>
        </w:rPr>
      </w:pPr>
    </w:p>
    <w:p w14:paraId="7A25C0B8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一次参数更新做什么</w:t>
      </w:r>
    </w:p>
    <w:p w14:paraId="19C63EC9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每一步先对训练集计算分数，再比较分数与 0/1 标签的差异；根据这些差异计算各参数的梯度，把 L2 项加到特征权重的梯度上，沿梯度反方向更新参数。步长采用由训练特征矩阵给出的保守上界，减少数值震荡。脚本用稳定的 sigmoid 与交叉熵表达式避免溢出。</w:t>
      </w:r>
    </w:p>
    <w:p w14:paraId="5F4415A4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训练伪代码</w:t>
      </w:r>
    </w:p>
    <w:p w14:paraId="0CC8E9E4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仅用 train 拟合每个像素位置的均值和标准差</w:t>
      </w:r>
    </w:p>
    <w:p w14:paraId="04860F0A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用同一统计量转换 train、val、test</w:t>
      </w:r>
    </w:p>
    <w:p w14:paraId="4C823ED6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初始化 256 个权重与 1 个偏置为零</w:t>
      </w:r>
    </w:p>
    <w:p w14:paraId="42BEC11A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重复 1,500 次：计算训练分数 → 计算加权误差梯度 → 加入正则项 → 更新参数</w:t>
      </w:r>
    </w:p>
    <w:p w14:paraId="0D6B4264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保存均值、标准差、权重、偏置与训练损失</w:t>
      </w:r>
    </w:p>
    <w:p w14:paraId="6E6D8DAB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冻结设置后计算 val 和 test 指标及逐图预测</w:t>
      </w:r>
    </w:p>
    <w:p w14:paraId="03452F25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训练损失记录从第 1 步 0.60265 降至第 1,500 步 0.11571，参数未出现非有限值。这说明该次优化正常执行，但不能据此证明达到全局最优或具有临床有效性。验证集只用于合理性检查，本轮没有超参数搜索。</w:t>
      </w:r>
    </w:p>
    <w:p w14:paraId="4BF042C9">
      <w:pPr>
        <w:pStyle w:val="2"/>
        <w:pageBreakBefore/>
        <w:pBdr>
          <w:top w:val="none" w:color="2F6B9A" w:sz="0" w:space="2"/>
          <w:left w:val="none" w:color="2F6B9A" w:sz="0" w:space="2"/>
          <w:bottom w:val="none" w:color="2F6B9A" w:sz="0" w:space="2"/>
          <w:right w:val="none" w:color="2F6B9A" w:sz="0" w:space="2"/>
        </w:pBdr>
        <w:spacing w:before="0" w:after="130" w:line="285" w:lineRule="auto"/>
        <w:rPr>
          <w:rFonts w:ascii="Helvetica Neue" w:hAnsi="Helvetica Neue" w:eastAsia="Helvetica Neue" w:cs="Helvetica Neue"/>
          <w:color w:val="000000"/>
        </w:rPr>
      </w:pPr>
      <w:r>
        <w:rPr>
          <w:rFonts w:ascii="Helvetica Neue" w:hAnsi="Helvetica Neue" w:eastAsia="Heiti SC"/>
          <w:color w:val="082A4A"/>
        </w:rPr>
        <w:t>7 指标与实际实验结果</w:t>
      </w:r>
    </w:p>
    <w:p w14:paraId="736895F7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采用 AUROC 与灵敏度两个任务指标。AUROC 衡量阳性标签样本相对阴性样本的分数排序能力；代码用正负样本两两比较计算，相同分数记半次正确。灵敏度是 TP 除以 TP 加 FN，反映固定阈值下的数据集阳性检出比例。</w:t>
      </w:r>
    </w:p>
    <w:p w14:paraId="67AAEBD1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为避免高灵敏度掩盖误报，报告同时给出原始混淆计数。TP 为阳性标签且预测阳性，TN 为阴性标签且预测阴性，FP 为阴性标签却预测阳性，FN 为阳性标签却预测阴性。</w:t>
      </w:r>
    </w:p>
    <w:tbl>
      <w:tblPr>
        <w:tblStyle w:val="16"/>
        <w:tblW w:w="10224" w:type="dxa"/>
        <w:jc w:val="center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200"/>
        <w:gridCol w:w="1700"/>
        <w:gridCol w:w="1524"/>
        <w:gridCol w:w="1000"/>
        <w:gridCol w:w="1000"/>
        <w:gridCol w:w="1000"/>
        <w:gridCol w:w="1000"/>
      </w:tblGrid>
      <w:tr w14:paraId="537AD825">
        <w:trPr>
          <w:cantSplit/>
          <w:tblHeader/>
          <w:jc w:val="center"/>
        </w:trPr>
        <w:tc>
          <w:tcPr>
            <w:tcW w:w="1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46DF85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分区</w:t>
            </w:r>
          </w:p>
        </w:tc>
        <w:tc>
          <w:tcPr>
            <w:tcW w:w="12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0BE8C1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张数</w:t>
            </w:r>
          </w:p>
        </w:tc>
        <w:tc>
          <w:tcPr>
            <w:tcW w:w="17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A5E323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AUROC</w:t>
            </w:r>
          </w:p>
        </w:tc>
        <w:tc>
          <w:tcPr>
            <w:tcW w:w="15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5D1D32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灵敏度</w:t>
            </w:r>
          </w:p>
        </w:tc>
        <w:tc>
          <w:tcPr>
            <w:tcW w:w="1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72DA9F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TN</w:t>
            </w:r>
          </w:p>
        </w:tc>
        <w:tc>
          <w:tcPr>
            <w:tcW w:w="1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C9AE23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FP</w:t>
            </w:r>
          </w:p>
        </w:tc>
        <w:tc>
          <w:tcPr>
            <w:tcW w:w="1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B45612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FN</w:t>
            </w:r>
          </w:p>
        </w:tc>
        <w:tc>
          <w:tcPr>
            <w:tcW w:w="1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A29718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TP</w:t>
            </w:r>
          </w:p>
        </w:tc>
      </w:tr>
      <w:tr w14:paraId="0932E68D">
        <w:trPr>
          <w:cantSplit/>
          <w:jc w:val="center"/>
        </w:trPr>
        <w:tc>
          <w:tcPr>
            <w:tcW w:w="1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A7E528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train</w:t>
            </w:r>
          </w:p>
        </w:tc>
        <w:tc>
          <w:tcPr>
            <w:tcW w:w="12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CA0C25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240</w:t>
            </w:r>
          </w:p>
        </w:tc>
        <w:tc>
          <w:tcPr>
            <w:tcW w:w="17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8CDD4D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0.9974</w:t>
            </w:r>
          </w:p>
        </w:tc>
        <w:tc>
          <w:tcPr>
            <w:tcW w:w="15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84992B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0.950</w:t>
            </w:r>
          </w:p>
        </w:tc>
        <w:tc>
          <w:tcPr>
            <w:tcW w:w="1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7D99D7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119</w:t>
            </w:r>
          </w:p>
        </w:tc>
        <w:tc>
          <w:tcPr>
            <w:tcW w:w="1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205ACA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1</w:t>
            </w:r>
          </w:p>
        </w:tc>
        <w:tc>
          <w:tcPr>
            <w:tcW w:w="1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6CC417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6</w:t>
            </w:r>
          </w:p>
        </w:tc>
        <w:tc>
          <w:tcPr>
            <w:tcW w:w="1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8B38AE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114</w:t>
            </w:r>
          </w:p>
        </w:tc>
      </w:tr>
      <w:tr w14:paraId="5CCC03A4">
        <w:trPr>
          <w:cantSplit/>
          <w:jc w:val="center"/>
        </w:trPr>
        <w:tc>
          <w:tcPr>
            <w:tcW w:w="1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45D005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val</w:t>
            </w:r>
          </w:p>
        </w:tc>
        <w:tc>
          <w:tcPr>
            <w:tcW w:w="12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0390ED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80</w:t>
            </w:r>
          </w:p>
        </w:tc>
        <w:tc>
          <w:tcPr>
            <w:tcW w:w="17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368070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0.9819</w:t>
            </w:r>
          </w:p>
        </w:tc>
        <w:tc>
          <w:tcPr>
            <w:tcW w:w="15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80F262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0.900</w:t>
            </w:r>
          </w:p>
        </w:tc>
        <w:tc>
          <w:tcPr>
            <w:tcW w:w="1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9919BC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38</w:t>
            </w:r>
          </w:p>
        </w:tc>
        <w:tc>
          <w:tcPr>
            <w:tcW w:w="1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2DDDE8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2</w:t>
            </w:r>
          </w:p>
        </w:tc>
        <w:tc>
          <w:tcPr>
            <w:tcW w:w="1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FBDCF9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4</w:t>
            </w:r>
          </w:p>
        </w:tc>
        <w:tc>
          <w:tcPr>
            <w:tcW w:w="1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78ACC3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36</w:t>
            </w:r>
          </w:p>
        </w:tc>
      </w:tr>
      <w:tr w14:paraId="70AC6370">
        <w:trPr>
          <w:cantSplit/>
          <w:jc w:val="center"/>
        </w:trPr>
        <w:tc>
          <w:tcPr>
            <w:tcW w:w="1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87D015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test</w:t>
            </w:r>
          </w:p>
        </w:tc>
        <w:tc>
          <w:tcPr>
            <w:tcW w:w="12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B9BF34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80</w:t>
            </w:r>
          </w:p>
        </w:tc>
        <w:tc>
          <w:tcPr>
            <w:tcW w:w="17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CF62F4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0.7556</w:t>
            </w:r>
          </w:p>
        </w:tc>
        <w:tc>
          <w:tcPr>
            <w:tcW w:w="15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40686C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0.800</w:t>
            </w:r>
          </w:p>
        </w:tc>
        <w:tc>
          <w:tcPr>
            <w:tcW w:w="1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479D33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18</w:t>
            </w:r>
          </w:p>
        </w:tc>
        <w:tc>
          <w:tcPr>
            <w:tcW w:w="1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255E39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22</w:t>
            </w:r>
          </w:p>
        </w:tc>
        <w:tc>
          <w:tcPr>
            <w:tcW w:w="1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35C536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8</w:t>
            </w:r>
          </w:p>
        </w:tc>
        <w:tc>
          <w:tcPr>
            <w:tcW w:w="1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2DD74A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32</w:t>
            </w:r>
          </w:p>
        </w:tc>
      </w:tr>
    </w:tbl>
    <w:p w14:paraId="489C9F4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270" w:lineRule="auto"/>
        <w:ind w:left="0" w:right="0" w:firstLine="0"/>
        <w:jc w:val="left"/>
        <w:rPr>
          <w:rFonts w:ascii="Helvetica Neue" w:hAnsi="Helvetica Neue" w:eastAsia="Helvetica Neue" w:cs="Helvetica Neue"/>
          <w:color w:val="082A4A"/>
        </w:rPr>
      </w:pPr>
    </w:p>
    <w:p w14:paraId="74788AF9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如何解读测试结果</w:t>
      </w:r>
    </w:p>
    <w:p w14:paraId="76DD8DBB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测试集中 40 张 PNEUMONIA 有 32 张预测为阳性，因此灵敏度为 32/40，即 0.80；同时 40 张 NORMAL 有 22 张被误报为阳性，说明当前阈值下误报明显。AUROC 为 0.7556，只代表本次平衡小样本的排序表现。</w:t>
      </w:r>
    </w:p>
    <w:p w14:paraId="2656C109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验证集 AUROC 为 0.9819，明显高于测试集的 0.7556，相差约 0.226。可能原因包括过拟合、抽样波动、原始开发与测试数据的分布差异，以及图像边缘或整体形状捷径。该次实验没有做因果对照，因此这些只是待验证解释。</w:t>
      </w:r>
    </w:p>
    <w:p w14:paraId="5ADE412F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每个测试类别只有 40 张，一个阳性样本就会使灵敏度变化 2.5 个百分点。当前没有报告置信区间，不把小样本结果外推到成年人、其他医院或真实临床人群。后续正式研究需扩大独立测试集，并基于真实患者分组估计区间。</w:t>
      </w:r>
    </w:p>
    <w:p w14:paraId="24DC8091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最小验证与工程测试</w:t>
      </w:r>
    </w:p>
    <w:p w14:paraId="1BADFFBA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验证顺序为：全量解码与计数 → 分组及哈希隔离 → 复制校验 → 训练集拟合 → 验证与测试 → 查看成功与失败样本。项目记录中 5 项自动测试通过，覆盖多图归组、重复连接的传递性、跨集哈希泄漏拒绝、AUROC 并列分数及优化器的合成数据行为。</w:t>
      </w:r>
    </w:p>
    <w:p w14:paraId="4815C9DB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这些检查验证核心工程行为，不等于医学标签正确或真实患者绝对独立。test 已用于本轮错例展示；如果以后根据这些错误修改模型，应另设未查看的最终测试集。</w:t>
      </w:r>
    </w:p>
    <w:p w14:paraId="0272682C">
      <w:pPr>
        <w:pStyle w:val="2"/>
        <w:pageBreakBefore/>
        <w:pBdr>
          <w:top w:val="none" w:color="2F6B9A" w:sz="0" w:space="2"/>
          <w:left w:val="none" w:color="2F6B9A" w:sz="0" w:space="2"/>
          <w:bottom w:val="none" w:color="2F6B9A" w:sz="0" w:space="2"/>
          <w:right w:val="none" w:color="2F6B9A" w:sz="0" w:space="2"/>
        </w:pBdr>
        <w:spacing w:before="0" w:after="130" w:line="285" w:lineRule="auto"/>
        <w:rPr>
          <w:rFonts w:ascii="Helvetica Neue" w:hAnsi="Helvetica Neue" w:eastAsia="Helvetica Neue" w:cs="Helvetica Neue"/>
          <w:color w:val="000000"/>
        </w:rPr>
      </w:pPr>
      <w:r>
        <w:rPr>
          <w:rFonts w:ascii="Helvetica Neue" w:hAnsi="Helvetica Neue" w:eastAsia="Heiti SC"/>
          <w:color w:val="082A4A"/>
        </w:rPr>
        <w:t>8 成功与失败样本讨论</w:t>
      </w:r>
    </w:p>
    <w:p w14:paraId="6A21C665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图 2 按样本 ID 固定排序，从测试集中每类最多选 4 张。四行分别对应 TP、TN、FP、FN。成功或失败只表示预测与数据集标签是否一致。</w:t>
      </w:r>
    </w:p>
    <w:p w14:paraId="2CA15EB3">
      <w:pPr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lvetica Neue" w:cs="Helvetica Neue"/>
        </w:rPr>
        <w:drawing>
          <wp:inline distT="0" distB="0" distL="0" distR="0">
            <wp:extent cx="4937760" cy="5776595"/>
            <wp:effectExtent l="0" t="0" r="0" b="0"/>
            <wp:docPr id="200" name="image1.png" descr="16 张测试示例 按 TP TN FP FN 四行排列 每图附匿名样本编号 标签和分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1.png" descr="16 张测试示例 按 TP TN FP FN 四行排列 每图附匿名样本编号 标签和分数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77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B7E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270" w:lineRule="auto"/>
        <w:ind w:left="0" w:right="0" w:firstLine="0"/>
        <w:jc w:val="left"/>
        <w:rPr>
          <w:rFonts w:ascii="Helvetica Neue" w:hAnsi="Helvetica Neue" w:eastAsia="Helvetica Neue" w:cs="Helvetica Neue"/>
          <w:color w:val="082A4A"/>
        </w:rPr>
      </w:pPr>
      <w:r>
        <w:rPr>
          <w:rFonts w:ascii="Helvetica Neue" w:hAnsi="Helvetica Neue" w:eastAsia="Heiti SC"/>
          <w:color w:val="233447"/>
        </w:rPr>
        <w:t>图 2 数据集标签与 CPU 基线的成功和失败示例</w:t>
      </w:r>
    </w:p>
    <w:p w14:paraId="5B42F73D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FP 示例 cxr_123a511c1c45 的分数为 0.9259，FN 示例 cxr_155d7ff11dd6 的分数为 0.2338。前者提醒高分也可能误报，后者画面较暗，可作为后续亮度敏感性分析的线索；均不能据此认定医学致错原因。</w:t>
      </w:r>
    </w:p>
    <w:p w14:paraId="14ECB171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部分示例含 R 标记和边缘文字，应在开发集检查捷径风险，外发图片前复核烧录信息。FN 示例 cxr_68953a50160b 分数为 0.4791，接近阈值，但本轮不为修正该例而改变阈值。</w:t>
      </w:r>
    </w:p>
    <w:p w14:paraId="619782EB">
      <w:pPr>
        <w:pStyle w:val="2"/>
        <w:pageBreakBefore/>
        <w:pBdr>
          <w:top w:val="none" w:color="2F6B9A" w:sz="0" w:space="2"/>
          <w:left w:val="none" w:color="2F6B9A" w:sz="0" w:space="2"/>
          <w:bottom w:val="none" w:color="2F6B9A" w:sz="0" w:space="2"/>
          <w:right w:val="none" w:color="2F6B9A" w:sz="0" w:space="2"/>
        </w:pBdr>
        <w:spacing w:before="0" w:after="130" w:line="285" w:lineRule="auto"/>
        <w:rPr>
          <w:rFonts w:ascii="Helvetica Neue" w:hAnsi="Helvetica Neue" w:eastAsia="Helvetica Neue" w:cs="Helvetica Neue"/>
          <w:color w:val="000000"/>
        </w:rPr>
      </w:pPr>
      <w:r>
        <w:rPr>
          <w:rFonts w:ascii="Helvetica Neue" w:hAnsi="Helvetica Neue" w:eastAsia="Heiti SC"/>
          <w:color w:val="082A4A"/>
        </w:rPr>
        <w:t>9 多模态辅助信息方案</w:t>
      </w:r>
    </w:p>
    <w:p w14:paraId="7B0A6935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影像之外选择结构化拍摄体位 view_position，候选值为 AP、PA、UNKNOWN。体位可能帮助解释投照方式导致的外观差异，并支持分层错误分析；它不代表疾病，能否提升分类需通过真实配对实验检验。</w:t>
      </w:r>
    </w:p>
    <w:p w14:paraId="18E8086D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当前状态与缺失处理</w:t>
      </w:r>
    </w:p>
    <w:p w14:paraId="28B59B23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本地 JPEG 没有逐张可信的体位记录，所以 400 张图片均记录 view_position=UNKNOWN、view_position_missing=1。当前代码不使用这些字段，继续运行纯图像模型。不从图像内容、文件名或数据集总体介绍推断体位，也不生成假报告来填补模态。</w:t>
      </w:r>
    </w:p>
    <w:p w14:paraId="59850119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真实项目怎样配对</w:t>
      </w:r>
    </w:p>
    <w:p w14:paraId="089C2D34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由数据管理员在受控环境内从原检查结构化信息取得体位，通过匿名图像与检查标识精确连接。只导出 image_id、patient_id、study_id、view_position 等必要字段，多图检查按图像标识连接，不能仅靠文件排序。缺失、一对多冲突或对应关系不清时保留 UNKNOWN，先修复数据质量。</w:t>
      </w:r>
    </w:p>
    <w:p w14:paraId="23D8F25F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模型如何使用辅助信息</w:t>
      </w:r>
    </w:p>
    <w:p w14:paraId="6F3753E7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后续可用 224×224 的 2D 编码器提取图像特征，把 AP/PA/UNKNOWN 独热编码与缺失指示拼接到图像特征后，再接小型分类头。训练时随机屏蔽部分已知体位，帮助模型适应缺失。当前尚未实现该路径，也未训练 ResNet-18；采用预训练权重前需核对其来源与使用条款。</w:t>
      </w:r>
    </w:p>
    <w:tbl>
      <w:tblPr>
        <w:tblStyle w:val="16"/>
        <w:tblW w:w="10224" w:type="dxa"/>
        <w:jc w:val="center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500"/>
        <w:gridCol w:w="3324"/>
      </w:tblGrid>
      <w:tr w14:paraId="5E5D9BC8">
        <w:trPr>
          <w:cantSplit/>
          <w:tblHeader/>
          <w:jc w:val="center"/>
        </w:trPr>
        <w:tc>
          <w:tcPr>
            <w:tcW w:w="34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AD52FB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比较方案</w:t>
            </w:r>
          </w:p>
        </w:tc>
        <w:tc>
          <w:tcPr>
            <w:tcW w:w="35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A08B81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控制条件</w:t>
            </w:r>
          </w:p>
        </w:tc>
        <w:tc>
          <w:tcPr>
            <w:tcW w:w="33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2345E7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回答的问题</w:t>
            </w:r>
          </w:p>
        </w:tc>
      </w:tr>
      <w:tr w14:paraId="4E2B67DF">
        <w:trPr>
          <w:cantSplit/>
          <w:jc w:val="center"/>
        </w:trPr>
        <w:tc>
          <w:tcPr>
            <w:tcW w:w="34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B8D5CA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低分辨率逻辑回归</w:t>
            </w:r>
          </w:p>
        </w:tc>
        <w:tc>
          <w:tcPr>
            <w:tcW w:w="35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943E3F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保留本轮工程基线记录</w:t>
            </w:r>
          </w:p>
        </w:tc>
        <w:tc>
          <w:tcPr>
            <w:tcW w:w="33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9D66B3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最小输入能否跑通检查流程</w:t>
            </w:r>
          </w:p>
        </w:tc>
      </w:tr>
      <w:tr w14:paraId="176169F2">
        <w:trPr>
          <w:cantSplit/>
          <w:jc w:val="center"/>
        </w:trPr>
        <w:tc>
          <w:tcPr>
            <w:tcW w:w="34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A9E50B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高分辨率纯图像编码器</w:t>
            </w:r>
          </w:p>
        </w:tc>
        <w:tc>
          <w:tcPr>
            <w:tcW w:w="35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F9E087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固定新开发划分和训练预算</w:t>
            </w:r>
          </w:p>
        </w:tc>
        <w:tc>
          <w:tcPr>
            <w:tcW w:w="33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46AEC8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更丰富空间表征有无收益</w:t>
            </w:r>
          </w:p>
        </w:tc>
      </w:tr>
      <w:tr w14:paraId="4D08498A">
        <w:trPr>
          <w:cantSplit/>
          <w:jc w:val="center"/>
        </w:trPr>
        <w:tc>
          <w:tcPr>
            <w:tcW w:w="34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A32BAF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同编码器加真实体位</w:t>
            </w:r>
          </w:p>
        </w:tc>
        <w:tc>
          <w:tcPr>
            <w:tcW w:w="35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A0677D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仅改变辅助信息输入</w:t>
            </w:r>
          </w:p>
        </w:tc>
        <w:tc>
          <w:tcPr>
            <w:tcW w:w="33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E8010E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体位是否带来额外收益</w:t>
            </w:r>
          </w:p>
        </w:tc>
      </w:tr>
      <w:tr w14:paraId="1DE312ED">
        <w:trPr>
          <w:cantSplit/>
          <w:jc w:val="center"/>
        </w:trPr>
        <w:tc>
          <w:tcPr>
            <w:tcW w:w="34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5BD75C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缺失与体位打乱检查</w:t>
            </w:r>
          </w:p>
        </w:tc>
        <w:tc>
          <w:tcPr>
            <w:tcW w:w="35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18E270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仅在开发数据开展</w:t>
            </w:r>
          </w:p>
        </w:tc>
        <w:tc>
          <w:tcPr>
            <w:tcW w:w="33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EBCE12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是否依赖缺失模式或体位捷径</w:t>
            </w:r>
          </w:p>
        </w:tc>
      </w:tr>
    </w:tbl>
    <w:p w14:paraId="7C4042B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270" w:lineRule="auto"/>
        <w:ind w:left="0" w:right="0" w:firstLine="0"/>
        <w:jc w:val="left"/>
        <w:rPr>
          <w:rFonts w:ascii="Helvetica Neue" w:hAnsi="Helvetica Neue" w:eastAsia="Helvetica Neue" w:cs="Helvetica Neue"/>
          <w:color w:val="082A4A"/>
        </w:rPr>
      </w:pPr>
    </w:p>
    <w:p w14:paraId="3A2A069B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评估时分别查看 AP、PA、信息可用与缺失子集。当前信息全部缺失，无法完成这种消融；不能把高分辨率模型本身的收益归因于多模态融合。</w:t>
      </w:r>
    </w:p>
    <w:p w14:paraId="335D6702">
      <w:pPr>
        <w:pStyle w:val="2"/>
        <w:pageBreakBefore/>
        <w:pBdr>
          <w:top w:val="none" w:color="2F6B9A" w:sz="0" w:space="2"/>
          <w:left w:val="none" w:color="2F6B9A" w:sz="0" w:space="2"/>
          <w:bottom w:val="none" w:color="2F6B9A" w:sz="0" w:space="2"/>
          <w:right w:val="none" w:color="2F6B9A" w:sz="0" w:space="2"/>
        </w:pBdr>
        <w:spacing w:before="0" w:after="130" w:line="285" w:lineRule="auto"/>
        <w:rPr>
          <w:rFonts w:ascii="Helvetica Neue" w:hAnsi="Helvetica Neue" w:eastAsia="Helvetica Neue" w:cs="Helvetica Neue"/>
          <w:color w:val="000000"/>
        </w:rPr>
      </w:pPr>
      <w:r>
        <w:rPr>
          <w:rFonts w:ascii="Helvetica Neue" w:hAnsi="Helvetica Neue" w:eastAsia="Heiti SC"/>
          <w:color w:val="082A4A"/>
        </w:rPr>
        <w:t>10 风险处理与下一步</w:t>
      </w:r>
    </w:p>
    <w:tbl>
      <w:tblPr>
        <w:tblStyle w:val="16"/>
        <w:tblW w:w="10224" w:type="dxa"/>
        <w:jc w:val="center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424"/>
        <w:gridCol w:w="3800"/>
      </w:tblGrid>
      <w:tr w14:paraId="418C769C">
        <w:trPr>
          <w:cantSplit/>
          <w:tblHeader/>
          <w:jc w:val="center"/>
        </w:trPr>
        <w:tc>
          <w:tcPr>
            <w:tcW w:w="3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6D724C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可能失败的情况</w:t>
            </w:r>
          </w:p>
        </w:tc>
        <w:tc>
          <w:tcPr>
            <w:tcW w:w="34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F4405B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发现方式</w:t>
            </w:r>
          </w:p>
        </w:tc>
        <w:tc>
          <w:tcPr>
            <w:tcW w:w="3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9F3C6B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处理方向</w:t>
            </w:r>
          </w:p>
        </w:tc>
      </w:tr>
      <w:tr w14:paraId="2E012D29">
        <w:trPr>
          <w:cantSplit/>
          <w:jc w:val="center"/>
        </w:trPr>
        <w:tc>
          <w:tcPr>
            <w:tcW w:w="3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409994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曝光运动质量差或细节消失</w:t>
            </w:r>
          </w:p>
        </w:tc>
        <w:tc>
          <w:tcPr>
            <w:tcW w:w="34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06E444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对照原图与缩小输入  复核假阴性</w:t>
            </w:r>
          </w:p>
        </w:tc>
        <w:tc>
          <w:tcPr>
            <w:tcW w:w="3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C81CCE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预定义质量规则  用更高分辨率验证</w:t>
            </w:r>
          </w:p>
        </w:tc>
      </w:tr>
      <w:tr w14:paraId="61FFCF24">
        <w:trPr>
          <w:cantSplit/>
          <w:jc w:val="center"/>
        </w:trPr>
        <w:tc>
          <w:tcPr>
            <w:tcW w:w="3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A00C3B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学习暗边文字或尺寸捷径</w:t>
            </w:r>
          </w:p>
        </w:tc>
        <w:tc>
          <w:tcPr>
            <w:tcW w:w="34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013C88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开发集遮挡实验与尺寸分层</w:t>
            </w:r>
          </w:p>
        </w:tc>
        <w:tc>
          <w:tcPr>
            <w:tcW w:w="3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E18728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统一预处理  不按预测对错删除图片</w:t>
            </w:r>
          </w:p>
        </w:tc>
      </w:tr>
      <w:tr w14:paraId="03A06DF3">
        <w:trPr>
          <w:cantSplit/>
          <w:jc w:val="center"/>
        </w:trPr>
        <w:tc>
          <w:tcPr>
            <w:tcW w:w="3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B9641B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其他医院设备或年龄分布变化</w:t>
            </w:r>
          </w:p>
        </w:tc>
        <w:tc>
          <w:tcPr>
            <w:tcW w:w="34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3E665B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来源分层与外部数据评估</w:t>
            </w:r>
          </w:p>
        </w:tc>
        <w:tc>
          <w:tcPr>
            <w:tcW w:w="3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4478E7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限定范围  补充合规外部样本</w:t>
            </w:r>
          </w:p>
        </w:tc>
      </w:tr>
      <w:tr w14:paraId="30170101">
        <w:trPr>
          <w:cantSplit/>
          <w:jc w:val="center"/>
        </w:trPr>
        <w:tc>
          <w:tcPr>
            <w:tcW w:w="3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A10EE8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标签含糊或标注错误</w:t>
            </w:r>
          </w:p>
        </w:tc>
        <w:tc>
          <w:tcPr>
            <w:tcW w:w="34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A59D2C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冲突组检测  争议样本复核</w:t>
            </w:r>
          </w:p>
        </w:tc>
        <w:tc>
          <w:tcPr>
            <w:tcW w:w="3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0101F5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保留原标签及复核版本  不自动改标签</w:t>
            </w:r>
          </w:p>
        </w:tc>
      </w:tr>
      <w:tr w14:paraId="5C65A3A3">
        <w:trPr>
          <w:cantSplit/>
          <w:jc w:val="center"/>
        </w:trPr>
        <w:tc>
          <w:tcPr>
            <w:tcW w:w="3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86A9F4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代理编号不是真实患者身份</w:t>
            </w:r>
          </w:p>
        </w:tc>
        <w:tc>
          <w:tcPr>
            <w:tcW w:w="34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C46190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取得匿名身份映射  近重复筛查</w:t>
            </w:r>
          </w:p>
        </w:tc>
        <w:tc>
          <w:tcPr>
            <w:tcW w:w="3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78EB4F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按真实患者重划分  废弃受污染评估</w:t>
            </w:r>
          </w:p>
        </w:tc>
      </w:tr>
      <w:tr w14:paraId="7405CDEC">
        <w:trPr>
          <w:cantSplit/>
          <w:jc w:val="center"/>
        </w:trPr>
        <w:tc>
          <w:tcPr>
            <w:tcW w:w="3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6F6A10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体位缺失或配对错误</w:t>
            </w:r>
          </w:p>
        </w:tc>
        <w:tc>
          <w:tcPr>
            <w:tcW w:w="34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F0AD95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缺失率和连接唯一性检查</w:t>
            </w:r>
          </w:p>
        </w:tc>
        <w:tc>
          <w:tcPr>
            <w:tcW w:w="3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EE0C99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保留 UNKNOWN  回退纯图像模型</w:t>
            </w:r>
          </w:p>
        </w:tc>
      </w:tr>
    </w:tbl>
    <w:p w14:paraId="4CC0C85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270" w:lineRule="auto"/>
        <w:ind w:left="0" w:right="0" w:firstLine="0"/>
        <w:jc w:val="left"/>
        <w:rPr>
          <w:rFonts w:ascii="Helvetica Neue" w:hAnsi="Helvetica Neue" w:eastAsia="Helvetica Neue" w:cs="Helvetica Neue"/>
          <w:color w:val="082A4A"/>
        </w:rPr>
      </w:pPr>
    </w:p>
    <w:p w14:paraId="545DAEED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下一轮优先顺序</w:t>
      </w:r>
    </w:p>
    <w:p w14:paraId="52C40F54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首先补充下载来源凭证、患者检查映射和拟使用图片的文字审核，稳定数据基础。随后在开发集研究更高分辨率的纯图像基线，控制预处理和训练预算。得到可靠体位配对后，再进行相同编码器的图像与多模态消融，最终用未查看的测试集或合规外部数据评估。</w:t>
      </w:r>
    </w:p>
    <w:p w14:paraId="10B64F5E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需要保留的边界</w:t>
      </w:r>
    </w:p>
    <w:p w14:paraId="4B768614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本项目不通过测试集反复调参，不把预测分数解释为个人患病概率，不输出医学诊断、治疗建议或临床结论。分类一致不证明定位正确，模型热图也不能替代病灶标注。两类平衡子集不能推导部署环境中的阳性预测值。</w:t>
      </w:r>
    </w:p>
    <w:p w14:paraId="60FFDB9A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已完成与待完成</w:t>
      </w:r>
    </w:p>
    <w:p w14:paraId="14D383B3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已完成的是 400 张副本、清单和数据审计、可运行 CPU 逻辑回归、指标和错例检查、关键行为测试。尚需完成的是真实患者与来源逐文件核实、近重复全面审查、标签和去标识化复核、真实体位配对、多模态训练及外部验证。</w:t>
      </w:r>
    </w:p>
    <w:p w14:paraId="2292DB55">
      <w:pPr>
        <w:pStyle w:val="2"/>
        <w:pageBreakBefore/>
        <w:pBdr>
          <w:top w:val="none" w:color="2F6B9A" w:sz="0" w:space="2"/>
          <w:left w:val="none" w:color="2F6B9A" w:sz="0" w:space="2"/>
          <w:bottom w:val="none" w:color="2F6B9A" w:sz="0" w:space="2"/>
          <w:right w:val="none" w:color="2F6B9A" w:sz="0" w:space="2"/>
        </w:pBdr>
        <w:spacing w:before="0" w:after="130" w:line="285" w:lineRule="auto"/>
        <w:rPr>
          <w:rFonts w:ascii="Helvetica Neue" w:hAnsi="Helvetica Neue" w:eastAsia="Helvetica Neue" w:cs="Helvetica Neue"/>
          <w:color w:val="000000"/>
        </w:rPr>
      </w:pPr>
      <w:r>
        <w:rPr>
          <w:rFonts w:ascii="Helvetica Neue" w:hAnsi="Helvetica Neue" w:eastAsia="Heiti SC"/>
          <w:color w:val="082A4A"/>
        </w:rPr>
        <w:t>11 项目文件与复现方法</w:t>
      </w:r>
    </w:p>
    <w:p w14:paraId="2AB4FE45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代码与材料位于 saint 项目根目录。下表中的路径均以项目根目录为起点，文档作为独立文件分享时，仍可据此定位相关材料。</w:t>
      </w:r>
    </w:p>
    <w:tbl>
      <w:tblPr>
        <w:tblStyle w:val="16"/>
        <w:tblW w:w="10224" w:type="dxa"/>
        <w:jc w:val="center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0"/>
        <w:gridCol w:w="5424"/>
      </w:tblGrid>
      <w:tr w14:paraId="68B8F5CD">
        <w:trPr>
          <w:cantSplit/>
          <w:tblHeader/>
          <w:jc w:val="center"/>
        </w:trPr>
        <w:tc>
          <w:tcPr>
            <w:tcW w:w="4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0B804F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文件或目录</w:t>
            </w:r>
          </w:p>
        </w:tc>
        <w:tc>
          <w:tcPr>
            <w:tcW w:w="54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C31656">
            <w:pPr>
              <w:spacing w:before="20" w:after="0" w:line="26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b/>
                <w:bCs/>
                <w:color w:val="FFFFFF"/>
                <w:sz w:val="21"/>
                <w:rtl w:val="0"/>
              </w:rPr>
              <w:t>用途</w:t>
            </w:r>
          </w:p>
        </w:tc>
      </w:tr>
      <w:tr w14:paraId="59E292A8">
        <w:trPr>
          <w:cantSplit/>
          <w:jc w:val="center"/>
        </w:trPr>
        <w:tc>
          <w:tcPr>
            <w:tcW w:w="4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C2D877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README.md 与 DESIGN.md</w:t>
            </w:r>
          </w:p>
        </w:tc>
        <w:tc>
          <w:tcPr>
            <w:tcW w:w="54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D501CB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数据获取 使用条件  方案及局限</w:t>
            </w:r>
          </w:p>
        </w:tc>
      </w:tr>
      <w:tr w14:paraId="71CCB1B0">
        <w:trPr>
          <w:cantSplit/>
          <w:jc w:val="center"/>
        </w:trPr>
        <w:tc>
          <w:tcPr>
            <w:tcW w:w="4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F48EE3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config.json</w:t>
            </w:r>
          </w:p>
        </w:tc>
        <w:tc>
          <w:tcPr>
            <w:tcW w:w="54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2CFF7B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种子 抽样数量 固定训练参数</w:t>
            </w:r>
          </w:p>
        </w:tc>
      </w:tr>
      <w:tr w14:paraId="01103055">
        <w:trPr>
          <w:cantSplit/>
          <w:jc w:val="center"/>
        </w:trPr>
        <w:tc>
          <w:tcPr>
            <w:tcW w:w="4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190421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scripts/prepare_subset.py</w:t>
            </w:r>
          </w:p>
        </w:tc>
        <w:tc>
          <w:tcPr>
            <w:tcW w:w="54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DA6A83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规范读取  关联分组  复制与审计</w:t>
            </w:r>
          </w:p>
        </w:tc>
      </w:tr>
      <w:tr w14:paraId="2C940AC1">
        <w:trPr>
          <w:cantSplit/>
          <w:jc w:val="center"/>
        </w:trPr>
        <w:tc>
          <w:tcPr>
            <w:tcW w:w="4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C77246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scripts/run_baseline.py</w:t>
            </w:r>
          </w:p>
        </w:tc>
        <w:tc>
          <w:tcPr>
            <w:tcW w:w="54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DD28E0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预处理  NumPy 训练  指标与示例图</w:t>
            </w:r>
          </w:p>
        </w:tc>
      </w:tr>
      <w:tr w14:paraId="68AD6EB3">
        <w:trPr>
          <w:cantSplit/>
          <w:jc w:val="center"/>
        </w:trPr>
        <w:tc>
          <w:tcPr>
            <w:tcW w:w="4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107E4A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tests/test_pipeline.py</w:t>
            </w:r>
          </w:p>
        </w:tc>
        <w:tc>
          <w:tcPr>
            <w:tcW w:w="54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02E6FF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5 项关键工程行为测试</w:t>
            </w:r>
          </w:p>
        </w:tc>
      </w:tr>
      <w:tr w14:paraId="085F6EE9">
        <w:trPr>
          <w:cantSplit/>
          <w:jc w:val="center"/>
        </w:trPr>
        <w:tc>
          <w:tcPr>
            <w:tcW w:w="4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F5191D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data/chest_xray_small/</w:t>
            </w:r>
          </w:p>
        </w:tc>
        <w:tc>
          <w:tcPr>
            <w:tcW w:w="54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6F97EB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400 张副本及 manifest.csv</w:t>
            </w:r>
          </w:p>
        </w:tc>
      </w:tr>
      <w:tr w14:paraId="75739765">
        <w:trPr>
          <w:cantSplit/>
          <w:jc w:val="center"/>
        </w:trPr>
        <w:tc>
          <w:tcPr>
            <w:tcW w:w="4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0E5761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reports/data_audit.json</w:t>
            </w:r>
          </w:p>
        </w:tc>
        <w:tc>
          <w:tcPr>
            <w:tcW w:w="54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515243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数据计数 去重与跨集检查</w:t>
            </w:r>
          </w:p>
        </w:tc>
      </w:tr>
      <w:tr w14:paraId="0A8443C6">
        <w:trPr>
          <w:cantSplit/>
          <w:jc w:val="center"/>
        </w:trPr>
        <w:tc>
          <w:tcPr>
            <w:tcW w:w="4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686882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reports/baseline_metrics.json</w:t>
            </w:r>
          </w:p>
        </w:tc>
        <w:tc>
          <w:tcPr>
            <w:tcW w:w="54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E12441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指标 损失 配置 清单哈希及环境</w:t>
            </w:r>
          </w:p>
        </w:tc>
      </w:tr>
      <w:tr w14:paraId="746E86D3">
        <w:trPr>
          <w:cantSplit/>
          <w:jc w:val="center"/>
        </w:trPr>
        <w:tc>
          <w:tcPr>
            <w:tcW w:w="4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1D05AE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reports/predictions.csv</w:t>
            </w:r>
          </w:p>
        </w:tc>
        <w:tc>
          <w:tcPr>
            <w:tcW w:w="54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A994BA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全部样本分数 类别与成功失败类型</w:t>
            </w:r>
          </w:p>
        </w:tc>
      </w:tr>
      <w:tr w14:paraId="6C84D317">
        <w:trPr>
          <w:cantSplit/>
          <w:jc w:val="center"/>
        </w:trPr>
        <w:tc>
          <w:tcPr>
            <w:tcW w:w="4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59C3C3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reports/baseline_model.npz</w:t>
            </w:r>
          </w:p>
        </w:tc>
        <w:tc>
          <w:tcPr>
            <w:tcW w:w="54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680324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均值 标准差 权重与偏置</w:t>
            </w:r>
          </w:p>
        </w:tc>
      </w:tr>
      <w:tr w14:paraId="37D194BB">
        <w:trPr>
          <w:cantSplit/>
          <w:jc w:val="center"/>
        </w:trPr>
        <w:tc>
          <w:tcPr>
            <w:tcW w:w="4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11A03D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reports/RESULTS.md</w:t>
            </w:r>
          </w:p>
        </w:tc>
        <w:tc>
          <w:tcPr>
            <w:tcW w:w="54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E65F51">
            <w:pPr>
              <w:spacing w:before="20" w:after="25" w:line="285" w:lineRule="auto"/>
              <w:rPr>
                <w:rFonts w:ascii="Helvetica Neue" w:hAnsi="Helvetica Neue" w:eastAsia="Heiti SC" w:cs="Helvetica Neue"/>
                <w:sz w:val="21"/>
              </w:rPr>
            </w:pPr>
            <w:r>
              <w:rPr>
                <w:rFonts w:ascii="Helvetica Neue" w:hAnsi="Helvetica Neue" w:eastAsia="Heiti SC" w:cs="Helvetica Neue"/>
                <w:color w:val="233447"/>
                <w:sz w:val="21"/>
                <w:rtl w:val="0"/>
              </w:rPr>
              <w:t>实际运行和错例解释</w:t>
            </w:r>
          </w:p>
        </w:tc>
      </w:tr>
    </w:tbl>
    <w:p w14:paraId="6A5EAA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270" w:lineRule="auto"/>
        <w:ind w:left="0" w:right="0" w:firstLine="0"/>
        <w:jc w:val="left"/>
        <w:rPr>
          <w:rFonts w:ascii="Helvetica Neue" w:hAnsi="Helvetica Neue" w:eastAsia="Helvetica Neue" w:cs="Helvetica Neue"/>
          <w:color w:val="082A4A"/>
        </w:rPr>
      </w:pPr>
    </w:p>
    <w:p w14:paraId="7FEE0422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安装与运行</w:t>
      </w:r>
    </w:p>
    <w:p w14:paraId="332CD7A4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环境要求为 Python 3.10+、NumPy、Pillow，无 GPU 或深度学习框架。本次实际记录的环境是 Python 3.12.14、NumPy 2.3.5、Pillow 12.3.0。在项目根目录执行以下命令：</w:t>
      </w:r>
    </w:p>
    <w:p w14:paraId="1B38043D">
      <w:pPr>
        <w:spacing w:after="110" w:line="300" w:lineRule="auto"/>
        <w:jc w:val="both"/>
        <w:rPr>
          <w:rFonts w:ascii="Menlo" w:hAnsi="Menlo" w:eastAsia="Heiti SC" w:cs="Helvetica Neue"/>
          <w:sz w:val="20"/>
        </w:rPr>
      </w:pPr>
      <w:r>
        <w:rPr>
          <w:rFonts w:ascii="Menlo" w:hAnsi="Menlo" w:eastAsia="Heiti SC"/>
          <w:color w:val="233447"/>
          <w:sz w:val="20"/>
        </w:rPr>
        <w:t>python3 -m venv .venv</w:t>
      </w:r>
    </w:p>
    <w:p w14:paraId="3D99511F">
      <w:pPr>
        <w:spacing w:after="110" w:line="300" w:lineRule="auto"/>
        <w:jc w:val="both"/>
        <w:rPr>
          <w:rFonts w:ascii="Menlo" w:hAnsi="Menlo" w:eastAsia="Heiti SC" w:cs="Helvetica Neue"/>
          <w:sz w:val="20"/>
        </w:rPr>
      </w:pPr>
      <w:r>
        <w:rPr>
          <w:rFonts w:ascii="Menlo" w:hAnsi="Menlo" w:eastAsia="Heiti SC"/>
          <w:color w:val="233447"/>
          <w:sz w:val="20"/>
        </w:rPr>
        <w:t>source .venv/bin/activate</w:t>
      </w:r>
    </w:p>
    <w:p w14:paraId="4D9B5F35">
      <w:pPr>
        <w:spacing w:after="110" w:line="300" w:lineRule="auto"/>
        <w:jc w:val="both"/>
        <w:rPr>
          <w:rFonts w:ascii="Menlo" w:hAnsi="Menlo" w:eastAsia="Heiti SC" w:cs="Helvetica Neue"/>
          <w:sz w:val="20"/>
        </w:rPr>
      </w:pPr>
      <w:r>
        <w:rPr>
          <w:rFonts w:ascii="Menlo" w:hAnsi="Menlo" w:eastAsia="Heiti SC"/>
          <w:color w:val="233447"/>
          <w:sz w:val="20"/>
        </w:rPr>
        <w:t>python -m pip install -r requirements.txt</w:t>
      </w:r>
    </w:p>
    <w:p w14:paraId="76F5923A">
      <w:pPr>
        <w:spacing w:after="110" w:line="300" w:lineRule="auto"/>
        <w:jc w:val="both"/>
        <w:rPr>
          <w:rFonts w:ascii="Menlo" w:hAnsi="Menlo" w:eastAsia="Heiti SC" w:cs="Helvetica Neue"/>
          <w:sz w:val="20"/>
        </w:rPr>
      </w:pPr>
      <w:r>
        <w:rPr>
          <w:rFonts w:ascii="Menlo" w:hAnsi="Menlo" w:eastAsia="Heiti SC"/>
          <w:color w:val="233447"/>
          <w:sz w:val="20"/>
        </w:rPr>
        <w:t>python scripts/run_baseline.py</w:t>
      </w:r>
    </w:p>
    <w:p w14:paraId="6F47225E">
      <w:pPr>
        <w:spacing w:after="110" w:line="300" w:lineRule="auto"/>
        <w:jc w:val="both"/>
        <w:rPr>
          <w:rFonts w:ascii="Menlo" w:hAnsi="Menlo" w:eastAsia="Heiti SC" w:cs="Helvetica Neue"/>
          <w:sz w:val="20"/>
        </w:rPr>
      </w:pPr>
      <w:r>
        <w:rPr>
          <w:rFonts w:ascii="Menlo" w:hAnsi="Menlo" w:eastAsia="Heiti SC"/>
          <w:color w:val="233447"/>
          <w:sz w:val="20"/>
        </w:rPr>
        <w:t>python -m unittest discover -s tests -v</w:t>
      </w:r>
    </w:p>
    <w:p w14:paraId="58BDE5E6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已有 400 张小样本时直接运行基线即可。首次生成子集才运行 python scripts/prepare_subset.py；它拒绝覆盖已有输出目录。重新抽样时复制配置，为 output 与 reports 指定新的目录，并给两个脚本传入 --config 参数，不要为了更高分数反复更换种子。</w:t>
      </w:r>
    </w:p>
    <w:p w14:paraId="2843077C">
      <w:pPr>
        <w:pStyle w:val="2"/>
        <w:pageBreakBefore/>
        <w:pBdr>
          <w:top w:val="none" w:color="2F6B9A" w:sz="0" w:space="2"/>
          <w:left w:val="none" w:color="2F6B9A" w:sz="0" w:space="2"/>
          <w:bottom w:val="none" w:color="2F6B9A" w:sz="0" w:space="2"/>
          <w:right w:val="none" w:color="2F6B9A" w:sz="0" w:space="2"/>
        </w:pBdr>
        <w:spacing w:before="0" w:after="130" w:line="285" w:lineRule="auto"/>
        <w:rPr>
          <w:rFonts w:ascii="Helvetica Neue" w:hAnsi="Helvetica Neue" w:eastAsia="Helvetica Neue" w:cs="Helvetica Neue"/>
          <w:color w:val="000000"/>
        </w:rPr>
      </w:pPr>
      <w:r>
        <w:rPr>
          <w:rFonts w:ascii="Helvetica Neue" w:hAnsi="Helvetica Neue" w:eastAsia="Heiti SC"/>
          <w:color w:val="082A4A"/>
        </w:rPr>
        <w:t>12 参考资料与 AI 辅助说明</w:t>
      </w:r>
    </w:p>
    <w:p w14:paraId="7DFFEDE3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公开资料</w:t>
      </w:r>
    </w:p>
    <w:p w14:paraId="15D9E7F6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[1] Kaggle 胸片数据分发页</w:t>
      </w:r>
      <w:r>
        <w:fldChar w:fldCharType="begin"/>
      </w:r>
      <w:r>
        <w:instrText xml:space="preserve"> HYPERLINK "https://www.kaggle.com/datasets/paultimothymooney/chest-xray-pneumonia" \h </w:instrText>
      </w:r>
      <w:r>
        <w:fldChar w:fldCharType="separate"/>
      </w:r>
      <w:r>
        <w:rPr>
          <w:rFonts w:eastAsia="Heiti SC"/>
          <w:color w:val="2F6B9A"/>
          <w:u w:val="single"/>
        </w:rPr>
        <w:t>查看来源</w:t>
      </w:r>
      <w:r>
        <w:rPr>
          <w:rFonts w:eastAsia="Heiti SC"/>
          <w:color w:val="2F6B9A"/>
          <w:u w:val="single"/>
        </w:rPr>
        <w:fldChar w:fldCharType="end"/>
      </w:r>
    </w:p>
    <w:p w14:paraId="163EA37E">
      <w:pPr>
        <w:spacing w:after="110" w:line="300" w:lineRule="auto"/>
        <w:jc w:val="both"/>
        <w:rPr>
          <w:rFonts w:ascii="Helvetica Neue" w:hAnsi="Helvetica Neue" w:eastAsia="Helvetica Neue" w:cs="Helvetica Neue"/>
          <w:sz w:val="18"/>
        </w:rPr>
      </w:pPr>
      <w:r>
        <w:rPr>
          <w:rFonts w:ascii="Helvetica Neue" w:hAnsi="Helvetica Neue" w:eastAsia="Heiti SC"/>
          <w:color w:val="233447"/>
          <w:sz w:val="18"/>
        </w:rPr>
        <w:t>https://www.kaggle.com/datasets/paultimothymooney/chest-xray-pneumonia</w:t>
      </w:r>
    </w:p>
    <w:p w14:paraId="64DD8BCA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[2] Mendeley Data v2 原始数据存档</w:t>
      </w:r>
      <w:r>
        <w:fldChar w:fldCharType="begin"/>
      </w:r>
      <w:r>
        <w:instrText xml:space="preserve"> HYPERLINK "https://data.mendeley.com/datasets/rscbjbr9sj/2" \h </w:instrText>
      </w:r>
      <w:r>
        <w:fldChar w:fldCharType="separate"/>
      </w:r>
      <w:r>
        <w:rPr>
          <w:rFonts w:eastAsia="Heiti SC"/>
          <w:color w:val="2F6B9A"/>
          <w:u w:val="single"/>
        </w:rPr>
        <w:t>查看来源</w:t>
      </w:r>
      <w:r>
        <w:rPr>
          <w:rFonts w:eastAsia="Heiti SC"/>
          <w:color w:val="2F6B9A"/>
          <w:u w:val="single"/>
        </w:rPr>
        <w:fldChar w:fldCharType="end"/>
      </w:r>
    </w:p>
    <w:p w14:paraId="2BB1CC69">
      <w:pPr>
        <w:spacing w:after="110" w:line="300" w:lineRule="auto"/>
        <w:jc w:val="both"/>
        <w:rPr>
          <w:rFonts w:ascii="Helvetica Neue" w:hAnsi="Helvetica Neue" w:eastAsia="Helvetica Neue" w:cs="Helvetica Neue"/>
          <w:sz w:val="18"/>
        </w:rPr>
      </w:pPr>
      <w:r>
        <w:rPr>
          <w:rFonts w:ascii="Helvetica Neue" w:hAnsi="Helvetica Neue" w:eastAsia="Heiti SC"/>
          <w:color w:val="233447"/>
          <w:sz w:val="18"/>
        </w:rPr>
        <w:t>https://data.mendeley.com/datasets/rscbjbr9sj/2</w:t>
      </w:r>
    </w:p>
    <w:p w14:paraId="64F207A2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[3] Mendeley Data v3 原始数据存档</w:t>
      </w:r>
      <w:r>
        <w:fldChar w:fldCharType="begin"/>
      </w:r>
      <w:r>
        <w:instrText xml:space="preserve"> HYPERLINK "https://data.mendeley.com/datasets/rscbjbr9sj/3" \h </w:instrText>
      </w:r>
      <w:r>
        <w:fldChar w:fldCharType="separate"/>
      </w:r>
      <w:r>
        <w:rPr>
          <w:rFonts w:eastAsia="Heiti SC"/>
          <w:color w:val="2F6B9A"/>
          <w:u w:val="single"/>
        </w:rPr>
        <w:t>查看来源</w:t>
      </w:r>
      <w:r>
        <w:rPr>
          <w:rFonts w:eastAsia="Heiti SC"/>
          <w:color w:val="2F6B9A"/>
          <w:u w:val="single"/>
        </w:rPr>
        <w:fldChar w:fldCharType="end"/>
      </w:r>
    </w:p>
    <w:p w14:paraId="691A1E13">
      <w:pPr>
        <w:spacing w:after="110" w:line="300" w:lineRule="auto"/>
        <w:jc w:val="both"/>
        <w:rPr>
          <w:rFonts w:ascii="Helvetica Neue" w:hAnsi="Helvetica Neue" w:eastAsia="Helvetica Neue" w:cs="Helvetica Neue"/>
          <w:sz w:val="18"/>
        </w:rPr>
      </w:pPr>
      <w:r>
        <w:rPr>
          <w:rFonts w:ascii="Helvetica Neue" w:hAnsi="Helvetica Neue" w:eastAsia="Heiti SC"/>
          <w:color w:val="233447"/>
          <w:sz w:val="18"/>
        </w:rPr>
        <w:t>https://data.mendeley.com/datasets/rscbjbr9sj/3</w:t>
      </w:r>
    </w:p>
    <w:p w14:paraId="305A62A6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[4] Kaggle v3 胸片数据说明</w:t>
      </w:r>
      <w:r>
        <w:fldChar w:fldCharType="begin"/>
      </w:r>
      <w:r>
        <w:instrText xml:space="preserve"> HYPERLINK "https://www.kaggle.com/datasets/tolgadincer/labeled-chest-xray-images" \h </w:instrText>
      </w:r>
      <w:r>
        <w:fldChar w:fldCharType="separate"/>
      </w:r>
      <w:r>
        <w:rPr>
          <w:rFonts w:eastAsia="Heiti SC"/>
          <w:color w:val="2F6B9A"/>
          <w:u w:val="single"/>
        </w:rPr>
        <w:t>查看来源</w:t>
      </w:r>
      <w:r>
        <w:rPr>
          <w:rFonts w:eastAsia="Heiti SC"/>
          <w:color w:val="2F6B9A"/>
          <w:u w:val="single"/>
        </w:rPr>
        <w:fldChar w:fldCharType="end"/>
      </w:r>
    </w:p>
    <w:p w14:paraId="7F060EEA">
      <w:pPr>
        <w:spacing w:after="110" w:line="300" w:lineRule="auto"/>
        <w:jc w:val="both"/>
        <w:rPr>
          <w:rFonts w:ascii="Helvetica Neue" w:hAnsi="Helvetica Neue" w:eastAsia="Helvetica Neue" w:cs="Helvetica Neue"/>
          <w:sz w:val="18"/>
        </w:rPr>
      </w:pPr>
      <w:r>
        <w:rPr>
          <w:rFonts w:ascii="Helvetica Neue" w:hAnsi="Helvetica Neue" w:eastAsia="Heiti SC"/>
          <w:color w:val="233447"/>
          <w:sz w:val="18"/>
        </w:rPr>
        <w:t>https://www.kaggle.com/datasets/tolgadincer/labeled-chest-xray-images</w:t>
      </w:r>
    </w:p>
    <w:p w14:paraId="024BBABF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[5] Creative Commons Attribution 4.0</w:t>
      </w:r>
      <w:r>
        <w:fldChar w:fldCharType="begin"/>
      </w:r>
      <w:r>
        <w:instrText xml:space="preserve"> HYPERLINK "https://creativecommons.org/licenses/by/4.0/" \h </w:instrText>
      </w:r>
      <w:r>
        <w:fldChar w:fldCharType="separate"/>
      </w:r>
      <w:r>
        <w:rPr>
          <w:rFonts w:eastAsia="Heiti SC"/>
          <w:color w:val="2F6B9A"/>
          <w:u w:val="single"/>
        </w:rPr>
        <w:t>查看来源</w:t>
      </w:r>
      <w:r>
        <w:rPr>
          <w:rFonts w:eastAsia="Heiti SC"/>
          <w:color w:val="2F6B9A"/>
          <w:u w:val="single"/>
        </w:rPr>
        <w:fldChar w:fldCharType="end"/>
      </w:r>
    </w:p>
    <w:p w14:paraId="2E4B04C2">
      <w:pPr>
        <w:spacing w:after="110" w:line="300" w:lineRule="auto"/>
        <w:jc w:val="both"/>
        <w:rPr>
          <w:rFonts w:ascii="Helvetica Neue" w:hAnsi="Helvetica Neue" w:eastAsia="Helvetica Neue" w:cs="Helvetica Neue"/>
          <w:sz w:val="18"/>
        </w:rPr>
      </w:pPr>
      <w:r>
        <w:rPr>
          <w:rFonts w:ascii="Helvetica Neue" w:hAnsi="Helvetica Neue" w:eastAsia="Heiti SC"/>
          <w:color w:val="233447"/>
          <w:sz w:val="18"/>
        </w:rPr>
        <w:t>https://creativecommons.org/licenses/by/4.0/</w:t>
      </w:r>
    </w:p>
    <w:p w14:paraId="7B0CA1E6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[6] Kermany 等人论文  Cell 2018</w:t>
      </w:r>
      <w:r>
        <w:fldChar w:fldCharType="begin"/>
      </w:r>
      <w:r>
        <w:instrText xml:space="preserve"> HYPERLINK "https://doi.org/10.1016/j.cell.2018.02.010" \h </w:instrText>
      </w:r>
      <w:r>
        <w:fldChar w:fldCharType="separate"/>
      </w:r>
      <w:r>
        <w:rPr>
          <w:rFonts w:eastAsia="Heiti SC"/>
          <w:color w:val="2F6B9A"/>
          <w:u w:val="single"/>
        </w:rPr>
        <w:t>查看来源</w:t>
      </w:r>
      <w:r>
        <w:rPr>
          <w:rFonts w:eastAsia="Heiti SC"/>
          <w:color w:val="2F6B9A"/>
          <w:u w:val="single"/>
        </w:rPr>
        <w:fldChar w:fldCharType="end"/>
      </w:r>
    </w:p>
    <w:p w14:paraId="410BBEEA">
      <w:pPr>
        <w:spacing w:after="110" w:line="300" w:lineRule="auto"/>
        <w:jc w:val="both"/>
        <w:rPr>
          <w:rFonts w:ascii="Helvetica Neue" w:hAnsi="Helvetica Neue" w:eastAsia="Helvetica Neue" w:cs="Helvetica Neue"/>
          <w:sz w:val="18"/>
        </w:rPr>
      </w:pPr>
      <w:r>
        <w:rPr>
          <w:rFonts w:ascii="Helvetica Neue" w:hAnsi="Helvetica Neue" w:eastAsia="Heiti SC"/>
          <w:color w:val="233447"/>
          <w:sz w:val="18"/>
        </w:rPr>
        <w:t>https://doi.org/10.1016/j.cell.2018.02.010</w:t>
      </w:r>
    </w:p>
    <w:p w14:paraId="6F51ED52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引用作者为 Daniel Kermany、Kang Zhang、Michael Goldbaum。论文题名为 Identifying Medical Diagnoses and Treatable Diseases by Image-Based Deep Learning。对网页的来源与使用条件描述沿用项目在 2026 年 9 月 7 日保存的核查记录；使用数据时仍应保留实际下载版本信息。</w:t>
      </w:r>
    </w:p>
    <w:p w14:paraId="703B5DAA">
      <w:pPr>
        <w:pStyle w:val="4"/>
        <w:spacing w:after="90" w:line="280" w:lineRule="auto"/>
      </w:pPr>
      <w:r>
        <w:rPr>
          <w:rFonts w:ascii="Helvetica Neue" w:hAnsi="Helvetica Neue" w:eastAsia="Heiti SC"/>
          <w:color w:val="233447"/>
        </w:rPr>
        <w:t>AI 的参与与可靠性判断</w:t>
      </w:r>
    </w:p>
    <w:p w14:paraId="7E66767B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AI 辅助公开资料检索、方案设计、代码与文档编写以及测试组织。可靠性检查采用原始发布页和许可页、实际图片计数与解码、文件和像素哈希、可重跑程序、关键行为测试及成功失败图视觉检查。没有将 AI 的图像描述作为临床解释，也没有把未训练的方法写成完成实验。</w:t>
      </w:r>
    </w:p>
    <w:p w14:paraId="4D2E7C9E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本报告以项目保存的配置、代码、数据审计及指标文件为依据。需要重新核算时，使用 predictions.csv 中的标签与分数，并按 0.5 阈值统计混淆计数；使用 baseline_metrics.json 中的清单</w:t>
      </w:r>
      <w:bookmarkStart w:id="0" w:name="_GoBack"/>
      <w:bookmarkEnd w:id="0"/>
      <w:r>
        <w:rPr>
          <w:rFonts w:ascii="Helvetica Neue" w:hAnsi="Helvetica Neue" w:eastAsia="Heiti SC"/>
          <w:color w:val="233447"/>
          <w:sz w:val="22"/>
        </w:rPr>
        <w:t>哈希判断是否仍是同一份子集。</w:t>
      </w:r>
    </w:p>
    <w:p w14:paraId="629FB36B">
      <w:pPr>
        <w:spacing w:after="110" w:line="300" w:lineRule="auto"/>
        <w:jc w:val="both"/>
        <w:rPr>
          <w:rFonts w:ascii="Helvetica Neue" w:hAnsi="Helvetica Neue" w:eastAsia="Helvetica Neue" w:cs="Helvetica Neue"/>
        </w:rPr>
      </w:pPr>
      <w:r>
        <w:rPr>
          <w:rFonts w:ascii="Helvetica Neue" w:hAnsi="Helvetica Neue" w:eastAsia="Heiti SC"/>
          <w:color w:val="233447"/>
          <w:sz w:val="22"/>
        </w:rPr>
        <w:t>原图片和模型二进制等已被 Git 忽略；单独提交小样本时保留 manifest.csv、来源署名和许可说明。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008" w:right="1008" w:bottom="893" w:left="1008" w:header="720" w:footer="720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  <w:embedRegular r:id="rId1" w:fontKey="{B7BA18E8-6746-A055-FD25-9E6A38D0D4CB}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  <w:embedRegular r:id="rId2" w:fontKey="{533E0712-4353-E421-FD25-9E6A6FF906F7}"/>
  </w:font>
  <w:font w:name="Helvetica Neue Light">
    <w:panose1 w:val="02000503000000020004"/>
    <w:charset w:val="00"/>
    <w:family w:val="auto"/>
    <w:pitch w:val="default"/>
    <w:sig w:usb0="E50002FF" w:usb1="500079DB" w:usb2="00000010" w:usb3="00000000" w:csb0="00000000" w:csb1="00000000"/>
    <w:embedRegular r:id="rId3" w:fontKey="{D6C91F96-191D-058F-FD25-9E6A57A40E8C}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  <w:embedRegular r:id="rId4" w:fontKey="{CD4EAE48-4E1D-8000-FD25-9E6A999E6ACE}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F7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60" w:lineRule="auto"/>
      <w:ind w:left="0" w:right="0" w:firstLine="0"/>
      <w:jc w:val="center"/>
      <w:rPr>
        <w:rFonts w:ascii="Arial" w:hAnsi="Arial" w:eastAsia="Heiti SC" w:cs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val="clear" w:fill="auto"/>
        <w:vertAlign w:val="baseline"/>
      </w:rPr>
    </w:pPr>
    <w:r>
      <w:rPr>
        <w:rFonts w:ascii="Arial" w:hAnsi="Arial" w:eastAsia="Heiti SC" w:cs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val="clear" w:fill="auto"/>
        <w:vertAlign w:val="baseline"/>
        <w:rtl w:val="0"/>
      </w:rPr>
      <w:t>胸片分类项目详细说明  教学研发验证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F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F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F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91360F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10" w:line="300" w:lineRule="auto"/>
    </w:pPr>
    <w:rPr>
      <w:rFonts w:ascii="Arial" w:hAnsi="Arial" w:eastAsia="Arial" w:cs="Arial"/>
      <w:color w:val="233447"/>
      <w:lang w:val="en"/>
    </w:rPr>
  </w:style>
  <w:style w:type="paragraph" w:styleId="2">
    <w:name w:val="heading 1"/>
    <w:basedOn w:val="1"/>
    <w:next w:val="1"/>
    <w:uiPriority w:val="0"/>
    <w:pPr>
      <w:keepNext/>
      <w:keepLines/>
      <w:pBdr>
        <w:top w:val="none" w:color="2F6B9A" w:sz="0" w:space="2"/>
        <w:left w:val="none" w:color="2F6B9A" w:sz="0" w:space="2"/>
        <w:bottom w:val="none" w:color="2F6B9A" w:sz="0" w:space="2"/>
        <w:right w:val="none" w:color="2F6B9A" w:sz="0" w:space="2"/>
      </w:pBdr>
      <w:spacing w:after="130" w:line="285" w:lineRule="auto"/>
    </w:pPr>
    <w:rPr>
      <w:b/>
      <w:bCs/>
      <w:color w:val="082A4A"/>
      <w:sz w:val="27"/>
      <w:szCs w:val="27"/>
    </w:rPr>
  </w:style>
  <w:style w:type="paragraph" w:styleId="3">
    <w:name w:val="heading 2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smallCaps/>
      <w:color w:val="082A4A"/>
      <w:sz w:val="19"/>
      <w:szCs w:val="19"/>
    </w:rPr>
  </w:style>
  <w:style w:type="paragraph" w:styleId="4">
    <w:name w:val="heading 3"/>
    <w:basedOn w:val="1"/>
    <w:next w:val="1"/>
    <w:uiPriority w:val="0"/>
    <w:pPr>
      <w:keepNext/>
      <w:keepLines/>
    </w:pPr>
    <w:rPr>
      <w:rFonts w:ascii="Helvetica Neue" w:hAnsi="Helvetica Neue" w:eastAsia="Helvetica Neue" w:cs="Helvetica Neue"/>
      <w:b/>
      <w:bCs/>
      <w:color w:val="5B7085"/>
    </w:rPr>
  </w:style>
  <w:style w:type="paragraph" w:styleId="5">
    <w:name w:val="heading 4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082A4A"/>
    </w:rPr>
  </w:style>
  <w:style w:type="paragraph" w:styleId="6">
    <w:name w:val="heading 5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color w:val="082A4A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082A4A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rPr>
      <w:rFonts w:ascii="Calibri" w:hAnsi="Calibri" w:eastAsia="Calibri" w:cs="Calibri"/>
      <w:i/>
      <w:iCs/>
      <w:color w:val="082A4A"/>
      <w:sz w:val="24"/>
      <w:szCs w:val="24"/>
    </w:rPr>
  </w:style>
  <w:style w:type="paragraph" w:styleId="9">
    <w:name w:val="Title"/>
    <w:basedOn w:val="1"/>
    <w:next w:val="1"/>
    <w:uiPriority w:val="0"/>
    <w:pPr>
      <w:spacing w:after="150"/>
    </w:pPr>
    <w:rPr>
      <w:b/>
      <w:bCs/>
      <w:color w:val="082A4A"/>
      <w:sz w:val="44"/>
      <w:szCs w:val="44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  <w:style w:type="table" w:customStyle="1" w:styleId="14">
    <w:name w:val="_Style 11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5">
    <w:name w:val="_Style 12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6">
    <w:name w:val="_Style 13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7">
    <w:name w:val="_Style 14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8">
    <w:name w:val="_Style 15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9">
    <w:name w:val="_Style 16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20">
    <w:name w:val="_Style 17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21">
    <w:name w:val="_Style 18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21</TotalTime>
  <ScaleCrop>false</ScaleCrop>
  <LinksUpToDate>false</LinksUpToDate>
  <Application>WPS Office_12.1.28492.28492_F1E327BC-269C-435d-A152-05C5408002CA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2026-09-07T10:24:32Z</dcterms:created>
  <dc:creator>Data</dc:creator>
  <cp:lastModifiedBy>WPS_1669192647</cp:lastModifiedBy>
  <dcterms:modified xsi:type="dcterms:W3CDTF">2026-09-07T10:48:29Z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428629D4B33AF0A8FD259E6A7C654AEC_42</vt:lpwstr>
  </property>
</Properties>
</file>