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Chapter 6</w:t>
      </w:r>
      <w:r>
        <w:rPr/>
        <w:br/>
      </w:r>
      <w:r>
        <w:rPr>
          <w:rFonts w:eastAsia="Times New Roman" w:cs="Times New Roman" w:ascii="Times New Roman" w:hAnsi="Times New Roman"/>
          <w:sz w:val="24"/>
          <w:szCs w:val="24"/>
          <w:u w:val="none"/>
        </w:rPr>
        <w:t>An Intermezzo on Capri:</w:t>
      </w:r>
    </w:p>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Concluding Remarks</w:t>
      </w:r>
    </w:p>
    <w:p>
      <w:pPr>
        <w:pStyle w:val="Normal"/>
        <w:widowControl/>
        <w:suppressAutoHyphens w:val="true"/>
        <w:overflowPunct w:val="true"/>
        <w:bidi w:val="0"/>
        <w:spacing w:lineRule="auto" w:line="276" w:before="0" w:after="160"/>
        <w:ind w:hanging="0" w:left="2880" w:right="0"/>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—Gor’kii, opening words of “Untimely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2"/>
      </w:r>
    </w:p>
    <w:p>
      <w:pPr>
        <w:pStyle w:val="Normal"/>
        <w:widowControl/>
        <w:suppressAutoHyphens w:val="true"/>
        <w:overflowPunct w:val="true"/>
        <w:bidi w:val="0"/>
        <w:spacing w:lineRule="auto" w:line="276" w:before="0" w:after="160"/>
        <w:ind w:hanging="0" w:left="2880" w:right="0"/>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3"/>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important people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Gor’kii knew this truth better than most around him, though that did not stop him from trying to fundamentally change human nature. The Capri School and its “sprouts” were the new Soviet people Gor’kii had been hoping to sow across the country. Unfortunately, Russian soil was simply too hostile for these ideas to take root.</w:t>
      </w:r>
    </w:p>
    <w:p>
      <w:pPr>
        <w:pStyle w:val="Normal"/>
        <w:suppressLineNumbers w:val="0"/>
        <w:bidi w:val="0"/>
        <w:spacing w:lineRule="auto" w:line="480" w:before="0" w:after="160"/>
        <w:ind w:firstLine="720" w:left="0" w:right="0"/>
        <w:jc w:val="left"/>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At the beginning of this investigation, it seemed as though Gor’kii was trying with all his might to divorce Russia’s future from its Orthodox past. However, as I pause at this inflection point, it seems more that he was trying to move the Russian Orthodox tradition away from its contemporary trajectory and toward something new. Having documented a portion of the evidence that Gor’kii was deeply concerned about people’s spiritual needs, I would like to suggest that he went on to spread that concern to other revolutionary writers and, to the extent that he could, to Bolshevik cultural politics. Archival research done in June 2023 in Italy lends insight into Gor’kii’s intentions and actions following Bloody Sunday. With additional analysis of the young writers learning his style, I show how the spirit of his post-Christian transpositions continued in the works of Il’ia Surguchёv (1881-1956), Ivan Vol’nov (1885-1931), and Aleksei Zolotarёv (1879-1950).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arose from two suppositions: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a vision for a renewed foundational narrative to serve Russia after the Romanovs and institutional Orthodoxy. In the body of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I bring to light Gor’kii’s spiritual humanism, a complex web of personal ethics, popular Christianity, political economics, and faith in Russians to evolve on command. My discussion points out how Gor’kii transposed elements of the Christian literature, from names to phrases to doctrine to entire books of the Bible, to show his readers a distinct-yet-recognizable post-Christian way of life that could and should be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’s future. Perhaps most importantly,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offers scholars and readers a different, capacious avenue for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could be God themselves</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if they were up to the task. There is no such thing as an atheist; that is the gospel truth.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At times, life subordinates what we have planned in favor of what others have planned for us. Such was the life and fate of Gor’kii when </w:t>
      </w:r>
      <w:commentRangeStart w:id="0"/>
      <w:r>
        <w:rPr>
          <w:rFonts w:eastAsia="Times New Roman" w:cs="Times New Roman" w:ascii="Times New Roman" w:hAnsi="Times New Roman"/>
          <w:i w:val="false"/>
          <w:iCs w:val="false"/>
          <w:sz w:val="24"/>
          <w:szCs w:val="24"/>
          <w:u w:val="none"/>
        </w:rPr>
        <w:t>Lenin tasked him</w:t>
      </w:r>
      <w:r>
        <w:rPr>
          <w:rFonts w:eastAsia="Times New Roman" w:cs="Times New Roman" w:ascii="Times New Roman" w:hAnsi="Times New Roman"/>
          <w:i w:val="false"/>
          <w:iCs w:val="false"/>
          <w:sz w:val="24"/>
          <w:szCs w:val="24"/>
          <w:u w:val="none"/>
        </w:rPr>
      </w:r>
      <w:commentRangeEnd w:id="0"/>
      <w:r>
        <w:commentReference w:id="0"/>
      </w:r>
      <w:r>
        <w:rPr>
          <w:rFonts w:eastAsia="Times New Roman" w:cs="Times New Roman" w:ascii="Times New Roman" w:hAnsi="Times New Roman"/>
          <w:i w:val="false"/>
          <w:iCs w:val="false"/>
          <w:sz w:val="24"/>
          <w:szCs w:val="24"/>
          <w:u w:val="none"/>
        </w:rPr>
        <w:t xml:space="preserve"> with running the Capri Workers' School following Bloody Sunday. In reality, the so-called school itself only lasted four-and-a-half months, from July 23 to December 7, 1909, when Lenin discovered what kind of institution Headmaster Gor'kii was truly running. The exact nature of the Capri School curriculum is debatable, as nothing has been discovered attesting to precisely what Gor’kii was teaching on Capri. Archival materials provide information, however, on the curriculum of a similar program, the Bologna Workers' School run by Lunacharskii, which received </w:t>
      </w:r>
      <w:commentRangeStart w:id="1"/>
      <w:r>
        <w:rPr>
          <w:rFonts w:eastAsia="Times New Roman" w:cs="Times New Roman" w:ascii="Times New Roman" w:hAnsi="Times New Roman"/>
          <w:i w:val="false"/>
          <w:iCs w:val="false"/>
          <w:sz w:val="24"/>
          <w:szCs w:val="24"/>
          <w:u w:val="none"/>
        </w:rPr>
        <w:t>Lenin’s continuing support</w:t>
      </w:r>
      <w:r>
        <w:rPr>
          <w:rFonts w:eastAsia="Times New Roman" w:cs="Times New Roman" w:ascii="Times New Roman" w:hAnsi="Times New Roman"/>
          <w:i w:val="false"/>
          <w:iCs w:val="false"/>
          <w:sz w:val="24"/>
          <w:szCs w:val="24"/>
          <w:u w:val="none"/>
        </w:rPr>
      </w:r>
      <w:commentRangeEnd w:id="1"/>
      <w:r>
        <w:commentReference w:id="1"/>
      </w:r>
      <w:r>
        <w:rPr>
          <w:rFonts w:eastAsia="Times New Roman" w:cs="Times New Roman" w:ascii="Times New Roman" w:hAnsi="Times New Roman"/>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revolutionary and wife of Lenin), and “Practical Occupations, Propaganda, Agitation, Etc.” (taught by Andrei Sokolov).</w:t>
      </w:r>
      <w:r>
        <w:rPr>
          <w:rStyle w:val="FootnoteReference"/>
          <w:rFonts w:eastAsia="Times New Roman" w:cs="Times New Roman" w:ascii="Times New Roman" w:hAnsi="Times New Roman"/>
          <w:i w:val="false"/>
          <w:iCs w:val="false"/>
          <w:sz w:val="24"/>
          <w:szCs w:val="24"/>
          <w:u w:val="none"/>
        </w:rPr>
        <w:footnoteReference w:id="4"/>
      </w:r>
      <w:r>
        <w:rPr>
          <w:rFonts w:eastAsia="Times New Roman" w:cs="Times New Roman" w:ascii="Times New Roman" w:hAnsi="Times New Roman"/>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ascii="Times New Roman" w:hAnsi="Times New Roman"/>
          <w:i w:val="false"/>
          <w:iCs w:val="false"/>
          <w:sz w:val="24"/>
          <w:szCs w:val="24"/>
          <w:u w:val="none"/>
        </w:rPr>
        <w:footnoteReference w:id="5"/>
      </w:r>
      <w:r>
        <w:rPr>
          <w:rFonts w:eastAsia="Times New Roman" w:cs="Times New Roman" w:ascii="Times New Roman" w:hAnsi="Times New Roman"/>
          <w:i w:val="false"/>
          <w:iCs w:val="false"/>
          <w:sz w:val="24"/>
          <w:szCs w:val="24"/>
          <w:u w:val="none"/>
        </w:rPr>
        <w:t xml:space="preserve"> One may extrapolate from this information</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as well as from the fact that much else surrounding the School seems to have been destroyed</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that Gor’kii was taking advantage of the distance afforded by the Italian island to conduct classes his own transpositional way. Despite the fact so little is left in the official record from the Capri School, we may nevertheless learn more from the unofficial record: the students of the School who studied directly under Gor'kii strove to become talented writers in their own right.</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Not every visitor to Capri is recorded, but there is a small number of other writers’ works attributable directly to Gor’kii’s mentorship on the island. The purpose of the following section, thus, is to establish for future research that Gor’kii used his time during and after the Capri School to teach others the post-Christian philosophy and 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Dmitrievich Surguchёv (1881–1956), Ivan Egorovich Vol’nov (ne</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 Vladimirov, 1885–1931), Aleksei Alekseevich Zolotarёv (1879–1950), that were begun, developed, and or finished on Capri in consultation with Gor’kii in 1909-13. These works form a second generation of post-Christian transpositions elevating the common Russian to the role of liberator of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from a morally bankrupt ruling class.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first of Gor’kii’s visitors was Il'ia Dmitrievich Surguchёv, the son of a wealthy businessman, a graduate of the Stavropol seminary, and fellow member of the Znanie publishing collective. Records of Gor’kii’s mentorship of Surguchёv work start in April 1910, approximately when the younger author began publishing. Two years later, in the thirty-ninth volumse of the </w:t>
      </w:r>
      <w:r>
        <w:rPr>
          <w:rFonts w:eastAsia="Times New Roman" w:cs="Times New Roman" w:ascii="Times New Roman" w:hAnsi="Times New Roman"/>
          <w:i/>
          <w:iCs/>
          <w:sz w:val="24"/>
          <w:szCs w:val="24"/>
          <w:u w:val="none"/>
        </w:rPr>
        <w:t>Znanie</w:t>
      </w:r>
      <w:r>
        <w:rPr>
          <w:rFonts w:eastAsia="Times New Roman" w:cs="Times New Roman" w:ascii="Times New Roman" w:hAnsi="Times New Roman"/>
          <w:i w:val="false"/>
          <w:iCs w:val="false"/>
          <w:sz w:val="24"/>
          <w:szCs w:val="24"/>
          <w:u w:val="none"/>
        </w:rPr>
        <w:t xml:space="preserve"> almanac, Surguchёv’s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Gubernator</w:t>
      </w:r>
      <w:r>
        <w:rPr>
          <w:rFonts w:eastAsia="Times New Roman" w:cs="Times New Roman" w:ascii="Times New Roman" w:hAnsi="Times New Roman"/>
          <w:i w:val="false"/>
          <w:iCs w:val="false"/>
          <w:sz w:val="24"/>
          <w:szCs w:val="24"/>
          <w:u w:val="none"/>
        </w:rPr>
        <w:t xml:space="preserve">] (1912) was published. The novel demonstrates several commonalities with Gor’kii’s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Times New Roman" w:hAnsi="Times New Roman"/>
          <w:i/>
          <w:iCs/>
          <w:sz w:val="24"/>
          <w:szCs w:val="24"/>
          <w:u w:val="none"/>
        </w:rPr>
        <w:t>pribezishche moe i zashchita moia</w:t>
      </w:r>
      <w:r>
        <w:rPr>
          <w:rFonts w:eastAsia="Times New Roman" w:cs="Times New Roman" w:ascii="Times New Roman" w:hAnsi="Times New Roman"/>
          <w:i w:val="false"/>
          <w:iCs w:val="false"/>
          <w:sz w:val="24"/>
          <w:szCs w:val="24"/>
          <w:u w:val="none"/>
        </w:rPr>
        <w:t xml:space="preserve">], is a transpositional leitmotif throughout the first two-thirds of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Times New Roman" w:hAnsi="Times New Roman"/>
          <w:i w:val="false"/>
          <w:iCs w:val="false"/>
          <w:sz w:val="24"/>
          <w:szCs w:val="24"/>
          <w:u w:val="none"/>
        </w:rPr>
        <w:footnoteReference w:id="6"/>
      </w:r>
      <w:r>
        <w:rPr>
          <w:rFonts w:eastAsia="Times New Roman" w:cs="Times New Roman" w:ascii="Times New Roman" w:hAnsi="Times New Roman"/>
          <w:i w:val="false"/>
          <w:iCs w:val="false"/>
          <w:sz w:val="24"/>
          <w:szCs w:val="24"/>
          <w:u w:val="none"/>
        </w:rPr>
        <w:t xml:space="preserve"> Elsewhere in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Times New Roman" w:hAnsi="Times New Roman"/>
          <w:i w:val="false"/>
          <w:iCs w:val="false"/>
          <w:sz w:val="24"/>
          <w:szCs w:val="24"/>
          <w:u w:val="none"/>
        </w:rPr>
        <w:footnoteReference w:id="7"/>
      </w:r>
      <w:r>
        <w:rPr>
          <w:rFonts w:eastAsia="Times New Roman" w:cs="Times New Roman" w:ascii="Times New Roman" w:hAnsi="Times New Roman"/>
          <w:i w:val="false"/>
          <w:iCs w:val="false"/>
          <w:sz w:val="24"/>
          <w:szCs w:val="24"/>
          <w:u w:val="none"/>
        </w:rPr>
        <w:t xml:space="preserve"> The fire only goes out once the governor’s young daughter dies, the event which becomes the ultimate impetus for his internal conversion. 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politically motivated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second of Gor’kii’s visitors was Il’ia Egorovich Vol’nov, a revolutionary writer from a destitute peasant background. Rural poverty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Times New Roman" w:hAnsi="Times New Roman"/>
          <w:i/>
          <w:iCs/>
          <w:sz w:val="24"/>
          <w:szCs w:val="24"/>
          <w:u w:val="none"/>
        </w:rPr>
        <w:t>The Story of the Days of My Life: A Peasant Chronicle</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Povest’ o dniakh moei zhizni: Krest’iankaia khronika</w:t>
      </w:r>
      <w:r>
        <w:rPr>
          <w:rFonts w:eastAsia="Times New Roman" w:cs="Times New Roman" w:ascii="Times New Roman" w:hAnsi="Times New Roman"/>
          <w:i w:val="false"/>
          <w:iCs w:val="false"/>
          <w:sz w:val="24"/>
          <w:szCs w:val="24"/>
          <w:u w:val="none"/>
        </w:rPr>
        <w:t>]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Times New Roman" w:hAnsi="Times New Roman"/>
          <w:i w:val="false"/>
          <w:iCs w:val="false"/>
          <w:sz w:val="24"/>
          <w:szCs w:val="24"/>
          <w:u w:val="none"/>
        </w:rPr>
        <w:footnoteReference w:id="8"/>
      </w:r>
      <w:r>
        <w:rPr>
          <w:rFonts w:eastAsia="Times New Roman" w:cs="Times New Roman" w:ascii="Times New Roman" w:hAnsi="Times New Roman"/>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Times New Roman" w:hAnsi="Times New Roman"/>
          <w:i/>
          <w:iCs/>
          <w:sz w:val="24"/>
          <w:szCs w:val="24"/>
          <w:u w:val="none"/>
        </w:rPr>
        <w:t>Nikolai Chudotvorets</w:t>
      </w:r>
      <w:r>
        <w:rPr>
          <w:rFonts w:eastAsia="Times New Roman" w:cs="Times New Roman" w:ascii="Times New Roman" w:hAnsi="Times New Roman"/>
          <w:i w:val="false"/>
          <w:iCs w:val="false"/>
          <w:sz w:val="24"/>
          <w:szCs w:val="24"/>
          <w:u w:val="none"/>
        </w:rPr>
        <w:t>]. They approach a farmer, asking, “What do you sow?” The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Like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9-15T11:42:22Z" w:initials="C(">
    <w:p>
      <w:pPr>
        <w:overflowPunct w:val="false"/>
        <w:spacing w:lineRule="auto" w:line="240" w:before="0" w:after="0"/>
        <w:rPr/>
      </w:pPr>
      <w:r>
        <w:rPr>
          <w:rFonts w:eastAsia="DejaVu Sans" w:ascii="Liberation Serif" w:hAnsi="Liberation Serif"/>
          <w:sz w:val="24"/>
          <w:szCs w:val="24"/>
          <w:lang w:val="en-US" w:eastAsia="en-US" w:bidi="en-US"/>
        </w:rPr>
        <w:t>cite evidence that VIL told him to go live on Capri</w:t>
      </w:r>
    </w:p>
  </w:comment>
  <w:comment w:id="1" w:author="Clowes, Edith W (eec3c)" w:date="2024-08-04T13:52:31Z" w:initials="C(">
    <w:p>
      <w:pPr>
        <w:overflowPunct w:val="fals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bidi w:val="0"/>
        <w:rPr/>
      </w:pPr>
      <w:r>
        <w:rPr>
          <w:rStyle w:val="FootnoteCharacters"/>
        </w:rPr>
        <w:footnoteRef/>
      </w:r>
      <w:r>
        <w:rPr/>
        <w:t xml:space="preserve"> </w:t>
      </w:r>
      <w:r>
        <w:rPr/>
        <w:t>Archive ID 41</w:t>
      </w:r>
    </w:p>
  </w:footnote>
  <w:footnote w:id="5">
    <w:p>
      <w:pPr>
        <w:pStyle w:val="FootnoteText"/>
        <w:bidi w:val="0"/>
        <w:rPr/>
      </w:pPr>
      <w:r>
        <w:rPr>
          <w:rStyle w:val="FootnoteCharacters"/>
        </w:rPr>
        <w:footnoteRef/>
      </w:r>
      <w:r>
        <w:rPr/>
        <w:t xml:space="preserve"> </w:t>
      </w:r>
      <w:r>
        <w:rPr/>
        <w:t>Archive ID 161</w:t>
      </w:r>
    </w:p>
  </w:footnote>
  <w:footnote w:id="6">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7">
    <w:p>
      <w:pPr>
        <w:pStyle w:val="FootnoteText"/>
        <w:bidi w:val="0"/>
        <w:rPr/>
      </w:pPr>
      <w:r>
        <w:rPr>
          <w:rStyle w:val="FootnoteCharacters"/>
        </w:rPr>
        <w:footnoteRef/>
      </w:r>
      <w:r>
        <w:rPr/>
        <w:t xml:space="preserve"> </w:t>
      </w:r>
      <w:r>
        <w:rPr/>
        <w:t>Surguchev, p.147</w:t>
      </w:r>
    </w:p>
  </w:footnote>
  <w:footnote w:id="8">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9426</TotalTime>
  <Application>LibreOffice/25.2.1.2$Linux_X86_64 LibreOffice_project/520$Build-2</Application>
  <AppVersion>15.0000</AppVersion>
  <Pages>2</Pages>
  <Words>2325</Words>
  <Characters>12476</Characters>
  <CharactersWithSpaces>14786</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2025-03-16T12:00:53Z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