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Chapter 6</w:t>
      </w:r>
      <w:r>
        <w:rPr/>
        <w:br/>
      </w:r>
      <w:r>
        <w:rPr>
          <w:rFonts w:eastAsia="Times New Roman" w:cs="Times New Roman" w:ascii="Times New Roman" w:hAnsi="Times New Roman"/>
          <w:sz w:val="24"/>
          <w:szCs w:val="24"/>
          <w:u w:val="none"/>
        </w:rPr>
        <w:t>An Intermezzo on Capri</w:t>
      </w:r>
    </w:p>
    <w:p>
      <w:pPr>
        <w:pStyle w:val="Normal"/>
        <w:spacing w:lineRule="auto" w:line="276"/>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br/>
      </w:r>
      <w:r>
        <w:rPr>
          <w:rFonts w:eastAsia="Times New Roman" w:cs="Times New Roman" w:ascii="Times New Roman" w:hAnsi="Times New Roman"/>
          <w:b w:val="false"/>
          <w:bCs w:val="false"/>
          <w:i w:val="false"/>
          <w:iCs w:val="false"/>
          <w:sz w:val="24"/>
          <w:szCs w:val="24"/>
          <w:u w:val="none"/>
          <w:lang w:val="en-US"/>
        </w:rPr>
        <w:t xml:space="preserve">—Gor’kii, </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p</w:t>
      </w:r>
      <w:r>
        <w:rPr>
          <w:rFonts w:eastAsia="Times New Roman" w:cs="Times New Roman" w:ascii="Times New Roman" w:hAnsi="Times New Roman"/>
          <w:b w:val="false"/>
          <w:bCs w:val="false"/>
          <w:i w:val="false"/>
          <w:iCs w:val="false"/>
          <w:sz w:val="24"/>
          <w:szCs w:val="24"/>
          <w:u w:val="none"/>
          <w:lang w:val="en-US"/>
        </w:rPr>
        <w:t>e</w:t>
      </w:r>
      <w:r>
        <w:rPr>
          <w:rFonts w:eastAsia="Times New Roman" w:cs="Times New Roman" w:ascii="Times New Roman" w:hAnsi="Times New Roman"/>
          <w:b w:val="false"/>
          <w:bCs w:val="false"/>
          <w:i w:val="false"/>
          <w:iCs w:val="false"/>
          <w:sz w:val="24"/>
          <w:szCs w:val="24"/>
          <w:u w:val="none"/>
          <w:lang w:val="en-US"/>
        </w:rPr>
        <w:t>n</w:t>
      </w:r>
      <w:r>
        <w:rPr>
          <w:rFonts w:eastAsia="Times New Roman" w:cs="Times New Roman" w:ascii="Times New Roman" w:hAnsi="Times New Roman"/>
          <w:b w:val="false"/>
          <w:bCs w:val="false"/>
          <w:i w:val="false"/>
          <w:iCs w:val="false"/>
          <w:sz w:val="24"/>
          <w:szCs w:val="24"/>
          <w:u w:val="none"/>
          <w:lang w:val="en-US"/>
        </w:rPr>
        <w:t>i</w:t>
      </w:r>
      <w:r>
        <w:rPr>
          <w:rFonts w:eastAsia="Times New Roman" w:cs="Times New Roman" w:ascii="Times New Roman" w:hAnsi="Times New Roman"/>
          <w:b w:val="false"/>
          <w:bCs w:val="false"/>
          <w:i w:val="false"/>
          <w:iCs w:val="false"/>
          <w:sz w:val="24"/>
          <w:szCs w:val="24"/>
          <w:u w:val="none"/>
          <w:lang w:val="en-US"/>
        </w:rPr>
        <w:t>n</w:t>
      </w:r>
      <w:r>
        <w:rPr>
          <w:rFonts w:eastAsia="Times New Roman" w:cs="Times New Roman" w:ascii="Times New Roman" w:hAnsi="Times New Roman"/>
          <w:b w:val="false"/>
          <w:bCs w:val="false"/>
          <w:i w:val="false"/>
          <w:iCs w:val="false"/>
          <w:sz w:val="24"/>
          <w:szCs w:val="24"/>
          <w:u w:val="none"/>
          <w:lang w:val="en-US"/>
        </w:rPr>
        <w:t xml:space="preserve">g </w:t>
      </w:r>
      <w:r>
        <w:rPr>
          <w:rFonts w:eastAsia="Times New Roman" w:cs="Times New Roman" w:ascii="Times New Roman" w:hAnsi="Times New Roman"/>
          <w:b w:val="false"/>
          <w:bCs w:val="false"/>
          <w:i w:val="false"/>
          <w:iCs w:val="false"/>
          <w:sz w:val="24"/>
          <w:szCs w:val="24"/>
          <w:u w:val="none"/>
          <w:lang w:val="en-US"/>
        </w:rPr>
        <w:t>w</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r</w:t>
      </w:r>
      <w:r>
        <w:rPr>
          <w:rFonts w:eastAsia="Times New Roman" w:cs="Times New Roman" w:ascii="Times New Roman" w:hAnsi="Times New Roman"/>
          <w:b w:val="false"/>
          <w:bCs w:val="false"/>
          <w:i w:val="false"/>
          <w:iCs w:val="false"/>
          <w:sz w:val="24"/>
          <w:szCs w:val="24"/>
          <w:u w:val="none"/>
          <w:lang w:val="en-US"/>
        </w:rPr>
        <w:t>d</w:t>
      </w:r>
      <w:r>
        <w:rPr>
          <w:rFonts w:eastAsia="Times New Roman" w:cs="Times New Roman" w:ascii="Times New Roman" w:hAnsi="Times New Roman"/>
          <w:b w:val="false"/>
          <w:bCs w:val="false"/>
          <w:i w:val="false"/>
          <w:iCs w:val="false"/>
          <w:sz w:val="24"/>
          <w:szCs w:val="24"/>
          <w:u w:val="none"/>
          <w:lang w:val="en-US"/>
        </w:rPr>
        <w:t xml:space="preserve">s </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 xml:space="preserve">f </w:t>
      </w:r>
      <w:r>
        <w:rPr>
          <w:rFonts w:eastAsia="Times New Roman" w:cs="Times New Roman" w:ascii="Times New Roman" w:hAnsi="Times New Roman"/>
          <w:b w:val="false"/>
          <w:bCs w:val="false"/>
          <w:i w:val="false"/>
          <w:iCs w:val="false"/>
          <w:sz w:val="24"/>
          <w:szCs w:val="24"/>
          <w:u w:val="none"/>
          <w:lang w:val="en-US"/>
        </w:rPr>
        <w:t>“Untimely Thoughts,” (1917)</w:t>
      </w:r>
      <w:r>
        <w:rPr>
          <w:rStyle w:val="FootnoteReference"/>
          <w:rFonts w:eastAsia="Times New Roman" w:cs="Times New Roman" w:ascii="Times New Roman" w:hAnsi="Times New Roman"/>
          <w:b w:val="false"/>
          <w:bCs w:val="false"/>
          <w:i w:val="false"/>
          <w:iCs w:val="false"/>
          <w:sz w:val="24"/>
          <w:szCs w:val="24"/>
          <w:u w:val="none"/>
          <w:lang w:val="en-US"/>
        </w:rPr>
        <w:footnoteReference w:id="2"/>
      </w:r>
    </w:p>
    <w:p>
      <w:pPr>
        <w:pStyle w:val="Normal"/>
        <w:spacing w:lineRule="auto" w:line="276"/>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gift of all gifts is the truth... Now the vagabonds are shod, and now the private professors are destitute. Has it become better in Russia? Have the sprouts of the Social-Democratic School, with Rector Gor’kii at its helm, transplanted from under the blue Capri sky to the Russian soil, grown as the conscientious gardener dreamed?..”</w:t>
      </w:r>
      <w:r>
        <w:rPr/>
        <w:br/>
      </w:r>
      <w:r>
        <w:rPr>
          <w:rFonts w:eastAsia="Times New Roman" w:cs="Times New Roman" w:ascii="Times New Roman" w:hAnsi="Times New Roman"/>
          <w:b w:val="false"/>
          <w:bCs w:val="false"/>
          <w:i w:val="false"/>
          <w:iCs w:val="false"/>
          <w:sz w:val="24"/>
          <w:szCs w:val="24"/>
          <w:u w:val="none"/>
          <w:lang w:val="en-US"/>
        </w:rPr>
        <w:t>–I. I. Aikhenval’d, “Maksim Gor’kii” (1918)</w:t>
      </w:r>
      <w:r>
        <w:rPr>
          <w:rStyle w:val="FootnoteReference"/>
          <w:rFonts w:eastAsia="Times New Roman" w:cs="Times New Roman" w:ascii="Times New Roman" w:hAnsi="Times New Roman"/>
          <w:b w:val="false"/>
          <w:bCs w:val="false"/>
          <w:i w:val="false"/>
          <w:iCs w:val="false"/>
          <w:sz w:val="24"/>
          <w:szCs w:val="24"/>
          <w:u w:val="none"/>
          <w:lang w:val="en-US"/>
        </w:rPr>
        <w:footnoteReference w:id="3"/>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important people remained weakened by the “harsh lessons of the past” and thus prone to old ways.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’s first four chapters aim to define the “lessons” to which Gor’kii alludes here, his proclamations of “Truth” based on decades of witnessing history up close and personal. Such is “the gift of all gifts” about which Aikhenval’d wrote: change is possible, but there is no outrunning the past. Gor’kii knew this better than most around him, though that did not stop him from trying to radically change human nature. The Capri School and its “sprouts” were the new Soviet people Gor’kii had been hoping to sow across the country. Unfortunately, Russian soil was simply too hostile for these ideas to take root.</w:t>
      </w:r>
    </w:p>
    <w:p>
      <w:pPr>
        <w:pStyle w:val="Normal"/>
        <w:suppressLineNumbers w:val="0"/>
        <w:bidi w:val="0"/>
        <w:spacing w:lineRule="auto" w:line="480" w:before="0" w:after="160"/>
        <w:ind w:firstLine="720" w:left="0" w:right="0"/>
        <w:jc w:val="left"/>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At the beginning of this investigation, it seemed as though Gor’kii was trying with all his might to divorce Russia’s future from its Orthodox past; however, as I pause at this inflection point, it seems more likely that he was trying to move the Russian Orthodox tradition away from its contemporary trajectory and toward something new. Having documented a portion of the evidence that Gor’kii was deeply concerned about people’s spiritual needs, I would like to suggest that he went on to spread that concern to other revolutionary writers and, to the extent that he could, to Bolshevik cultural politics. Archival research done in June 2023 in Italy lends insight into Gor’kii’s intentions and actions following Bloody Sunday. With additional analysis of the young writers learning his style, I show how the spirit of his post-Christian transpositions continued in the works of Il’ia Surguchёv (1881-1956), Ivan Vol’nov (1885-1931), and Aleksei Zolotarёv (1879-1950).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arose from two supposition: first, that change, especially radical change, happens gradually and with at least some continuity with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His pre-revolutionary literature projects the vision for a renewed foundational narrative to serve Russia after the Romanovs and institutional Orthodoxy. In the body of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I bring to light Gor’kii’s spiritual humanism, a complex web of personal ethics, popular Christianity, political economics, and faith in Russians to evolve. My discussion points out how Gor’kii transposed elements of the Christian literature, from names to phrases to doctrine to entire books of the Bible, to show his readers a distinct-yet-recognizable post-Christian way of life that could and should be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’s future. Perhaps most importantly,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offers scholars and readers a different, capacious avenue of understanding Gor’kii and his contemporaries. This study takes a heretical approach to analyzing its subject. Gor'kii may not have been outright lying when he called himself an “atheist,” but he was not telling the whole truth. In fact, he believed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could be God themselves, if they were up to the task. To summarize the first chapter’s epigraphs: there is no such thing as an atheist. That is the gospel truth.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At times, life subordinates what we have planned in favor of what others have planned for us. Such was the life and fate of Gor’kii when </w:t>
      </w:r>
      <w:commentRangeStart w:id="0"/>
      <w:r>
        <w:rPr>
          <w:rFonts w:eastAsia="Times New Roman" w:cs="Times New Roman" w:ascii="Times New Roman" w:hAnsi="Times New Roman"/>
          <w:i w:val="false"/>
          <w:iCs w:val="false"/>
          <w:sz w:val="24"/>
          <w:szCs w:val="24"/>
          <w:u w:val="none"/>
        </w:rPr>
        <w:t>Lenin tasked him</w:t>
      </w:r>
      <w:r>
        <w:rPr>
          <w:rFonts w:eastAsia="Times New Roman" w:cs="Times New Roman" w:ascii="Times New Roman" w:hAnsi="Times New Roman"/>
          <w:i w:val="false"/>
          <w:iCs w:val="false"/>
          <w:sz w:val="24"/>
          <w:szCs w:val="24"/>
          <w:u w:val="none"/>
        </w:rPr>
      </w:r>
      <w:commentRangeEnd w:id="0"/>
      <w:r>
        <w:commentReference w:id="0"/>
      </w:r>
      <w:r>
        <w:rPr>
          <w:rFonts w:eastAsia="Times New Roman" w:cs="Times New Roman" w:ascii="Times New Roman" w:hAnsi="Times New Roman"/>
          <w:i w:val="false"/>
          <w:iCs w:val="false"/>
          <w:sz w:val="24"/>
          <w:szCs w:val="24"/>
          <w:u w:val="none"/>
        </w:rPr>
        <w:t xml:space="preserve"> with running the Capri Workers' School following Bloody Sunday. In reality, the so-called school itself only lasted four-and-a-half months, from July 23 to December 7, 1909, when Lenin discovered what kind of institution Headmaster Gor'kii was truly running. The exact nature of the Capri School curriculum is debatable, as nothing has been discovered attesting to precisely what Gor’kii was teaching on Capri. Archival materials provide information, however, on the curriculum of the Bologna Workers' School run by Lunacharskii, which received </w:t>
      </w:r>
      <w:commentRangeStart w:id="1"/>
      <w:r>
        <w:rPr>
          <w:rFonts w:eastAsia="Times New Roman" w:cs="Times New Roman" w:ascii="Times New Roman" w:hAnsi="Times New Roman"/>
          <w:i w:val="false"/>
          <w:iCs w:val="false"/>
          <w:sz w:val="24"/>
          <w:szCs w:val="24"/>
          <w:u w:val="none"/>
        </w:rPr>
        <w:t>Lenin’s continuing support</w:t>
      </w:r>
      <w:r>
        <w:rPr>
          <w:rFonts w:eastAsia="Times New Roman" w:cs="Times New Roman" w:ascii="Times New Roman" w:hAnsi="Times New Roman"/>
          <w:i w:val="false"/>
          <w:iCs w:val="false"/>
          <w:sz w:val="24"/>
          <w:szCs w:val="24"/>
          <w:u w:val="none"/>
        </w:rPr>
      </w:r>
      <w:commentRangeEnd w:id="1"/>
      <w:r>
        <w:commentReference w:id="1"/>
      </w:r>
      <w:r>
        <w:rPr>
          <w:rFonts w:eastAsia="Times New Roman" w:cs="Times New Roman" w:ascii="Times New Roman" w:hAnsi="Times New Roman"/>
          <w:i w:val="false"/>
          <w:iCs w:val="false"/>
          <w:sz w:val="24"/>
          <w:szCs w:val="24"/>
          <w:u w:val="none"/>
        </w:rPr>
        <w:t>. These courses included “Political Economics” (taught by Bogdanov), “The History of Russian Literature and the Workers Movement in the West” (taught by Lunacharskii), “The Woman Question and the Finnish Question" (taught by Aleksandra Kollontai), and “Practical Occupations, Propaganda, Agitation, Etc.” (taught by Andrei Sokolov).</w:t>
      </w:r>
      <w:r>
        <w:rPr>
          <w:rStyle w:val="FootnoteReference"/>
          <w:rFonts w:eastAsia="Times New Roman" w:cs="Times New Roman" w:ascii="Times New Roman" w:hAnsi="Times New Roman"/>
          <w:i w:val="false"/>
          <w:iCs w:val="false"/>
          <w:sz w:val="24"/>
          <w:szCs w:val="24"/>
          <w:u w:val="none"/>
        </w:rPr>
        <w:footnoteReference w:id="4"/>
      </w:r>
      <w:r>
        <w:rPr>
          <w:rFonts w:eastAsia="Times New Roman" w:cs="Times New Roman" w:ascii="Times New Roman" w:hAnsi="Times New Roman"/>
          <w:i w:val="false"/>
          <w:iCs w:val="false"/>
          <w:sz w:val="24"/>
          <w:szCs w:val="24"/>
          <w:u w:val="none"/>
        </w:rPr>
        <w:t xml:space="preserve"> Rather, what remains from Gor’kii’s Capri School is a police record of a propaganda campaign advocating for a Russian democratic republic.</w:t>
      </w:r>
      <w:r>
        <w:rPr>
          <w:rStyle w:val="FootnoteReference"/>
          <w:rFonts w:eastAsia="Times New Roman" w:cs="Times New Roman" w:ascii="Times New Roman" w:hAnsi="Times New Roman"/>
          <w:i w:val="false"/>
          <w:iCs w:val="false"/>
          <w:sz w:val="24"/>
          <w:szCs w:val="24"/>
          <w:u w:val="none"/>
        </w:rPr>
        <w:footnoteReference w:id="5"/>
      </w:r>
      <w:r>
        <w:rPr>
          <w:rFonts w:eastAsia="Times New Roman" w:cs="Times New Roman" w:ascii="Times New Roman" w:hAnsi="Times New Roman"/>
          <w:i w:val="false"/>
          <w:iCs w:val="false"/>
          <w:sz w:val="24"/>
          <w:szCs w:val="24"/>
          <w:u w:val="none"/>
        </w:rPr>
        <w:t xml:space="preserve"> One may extrapolate from this information, as well as from the from the fact that much else surrounding the School seems to have been destroyed, that Gor’kii was taking advantage of the distance afforded by the Italian island to conduct classes his own way. Despite the fact so little is left in the official record from the Capri School, we may nevertheless learn more from the unofficial record. The students of the School who studied directly under Gor'kii strove to become talented writers in their own right.</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Not every visitor to Capri is recorded, but there is a small number of other writers’ works directly attributable to Gor’kii’s mentorship on the island. The purpose of the following section, thus, is not to prove that these four pieces of literature were written on the island, but rather to establish for future research that Gor’kii used his time during and after the Capri School to teach others the post-Christian philosophy and method at the center of the current study. My aim is therefore to seek further avenues of investigation into both the nature and purpose of such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Dmitrievich Surguchёv (1881 – 1956), Ivan Egorovich Vol’nov (ne Vladimirov, 1885 – 1931), Aleksei Alekseevich Zolotarёv (1879 – 1950), that were begun, written, or finished on Capri in consultation with Gor’kii in 1909-13. These works form a second generation of post-Christian transpositions elevating the common Russian to the role of liberator of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from a morally bankrupt ruling class.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first of Gor’kii’s visitors was Il'ia Dmitrievich Surguchev, the son of a wealthy businessman, a graduate of the Stavropol seminary, and fellow member of the Znanie publishing collective. Records of Gor’kii’s influence on Surguchev's work starts in April 1910, approximately when the younger author began publishing. Two years later, in the thirty-ninth edition of Znanie, Surguchev’s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Gubernator</w:t>
      </w:r>
      <w:r>
        <w:rPr>
          <w:rFonts w:eastAsia="Times New Roman" w:cs="Times New Roman" w:ascii="Times New Roman" w:hAnsi="Times New Roman"/>
          <w:i w:val="false"/>
          <w:iCs w:val="false"/>
          <w:sz w:val="24"/>
          <w:szCs w:val="24"/>
          <w:u w:val="none"/>
        </w:rPr>
        <w:t xml:space="preserve">] (1912) was published. The novel demonstrates several commonalities with Gor’kii’s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Times New Roman" w:hAnsi="Times New Roman"/>
          <w:i/>
          <w:iCs/>
          <w:sz w:val="24"/>
          <w:szCs w:val="24"/>
          <w:u w:val="none"/>
        </w:rPr>
        <w:t>pribezishche moe i zashchita moia</w:t>
      </w:r>
      <w:r>
        <w:rPr>
          <w:rFonts w:eastAsia="Times New Roman" w:cs="Times New Roman" w:ascii="Times New Roman" w:hAnsi="Times New Roman"/>
          <w:i w:val="false"/>
          <w:iCs w:val="false"/>
          <w:sz w:val="24"/>
          <w:szCs w:val="24"/>
          <w:u w:val="none"/>
        </w:rPr>
        <w:t xml:space="preserve">], is a transpositional leitmotif throughout the first two-thirds of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Times New Roman" w:hAnsi="Times New Roman"/>
          <w:i w:val="false"/>
          <w:iCs w:val="false"/>
          <w:sz w:val="24"/>
          <w:szCs w:val="24"/>
          <w:u w:val="none"/>
        </w:rPr>
        <w:footnoteReference w:id="6"/>
      </w:r>
      <w:r>
        <w:rPr>
          <w:rFonts w:eastAsia="Times New Roman" w:cs="Times New Roman" w:ascii="Times New Roman" w:hAnsi="Times New Roman"/>
          <w:i w:val="false"/>
          <w:iCs w:val="false"/>
          <w:sz w:val="24"/>
          <w:szCs w:val="24"/>
          <w:u w:val="none"/>
        </w:rPr>
        <w:t xml:space="preserve"> Elsewhere in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Times New Roman" w:hAnsi="Times New Roman"/>
          <w:i w:val="false"/>
          <w:iCs w:val="false"/>
          <w:sz w:val="24"/>
          <w:szCs w:val="24"/>
          <w:u w:val="none"/>
        </w:rPr>
        <w:footnoteReference w:id="7"/>
      </w:r>
      <w:r>
        <w:rPr>
          <w:rFonts w:eastAsia="Times New Roman" w:cs="Times New Roman" w:ascii="Times New Roman" w:hAnsi="Times New Roman"/>
          <w:i w:val="false"/>
          <w:iCs w:val="false"/>
          <w:sz w:val="24"/>
          <w:szCs w:val="24"/>
          <w:u w:val="none"/>
        </w:rPr>
        <w:t xml:space="preserve"> The fire only goes out once the governor’s young daughter dies, the event which becomes the ultimate impetus for his internal conversion. 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second of Gor’kii’s visitors was Il’ia Egorovich Vol’nov, a revolutionary writer from a destitute peasant background, which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Times New Roman" w:hAnsi="Times New Roman"/>
          <w:i/>
          <w:iCs/>
          <w:sz w:val="24"/>
          <w:szCs w:val="24"/>
          <w:u w:val="none"/>
        </w:rPr>
        <w:t>The Story of the Days of My Life: A Peasant Chronicle</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Povest’ o dniakh moei zhizni: Krest’iankaia khronika</w:t>
      </w:r>
      <w:r>
        <w:rPr>
          <w:rFonts w:eastAsia="Times New Roman" w:cs="Times New Roman" w:ascii="Times New Roman" w:hAnsi="Times New Roman"/>
          <w:i w:val="false"/>
          <w:iCs w:val="false"/>
          <w:sz w:val="24"/>
          <w:szCs w:val="24"/>
          <w:u w:val="none"/>
        </w:rPr>
        <w:t>]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Times New Roman" w:hAnsi="Times New Roman"/>
          <w:i w:val="false"/>
          <w:iCs w:val="false"/>
          <w:sz w:val="24"/>
          <w:szCs w:val="24"/>
          <w:u w:val="none"/>
        </w:rPr>
        <w:footnoteReference w:id="8"/>
      </w:r>
      <w:r>
        <w:rPr>
          <w:rFonts w:eastAsia="Times New Roman" w:cs="Times New Roman" w:ascii="Times New Roman" w:hAnsi="Times New Roman"/>
          <w:i w:val="false"/>
          <w:iCs w:val="false"/>
          <w:sz w:val="24"/>
          <w:szCs w:val="24"/>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Times New Roman" w:hAnsi="Times New Roman"/>
          <w:i/>
          <w:iCs/>
          <w:sz w:val="24"/>
          <w:szCs w:val="24"/>
          <w:u w:val="none"/>
        </w:rPr>
        <w:t>Nikolai Chudotvorets</w:t>
      </w:r>
      <w:r>
        <w:rPr>
          <w:rFonts w:eastAsia="Times New Roman" w:cs="Times New Roman" w:ascii="Times New Roman" w:hAnsi="Times New Roman"/>
          <w:i w:val="false"/>
          <w:iCs w:val="false"/>
          <w:sz w:val="24"/>
          <w:szCs w:val="24"/>
          <w:u w:val="none"/>
        </w:rPr>
        <w:t xml:space="preserve">]. They approach a farmer, asking, “What do you sow?” A destitute man responds humbly, which inspires Christ to promise a bountiful crop. The food he is growing, buckwheat, is a stereotypical peasant food among Russians and other Slavs in Eastern Europe. When they approach a rich farmer with the same question, he ignore Christ’s question and spits on Peter the Apostle, leaving the trio nonplussed. Vol’nov takes the four types of ground, which are to symbolize people’s receptiveness to Christ’s message, and distills them into two socioeconomic populations: the poor and the rich. Similar to Gor’kii’s criticism of the merchant class, Vol’nov transposes a Biblical parable into the Russian context in order to publicly rebuke the attitudes of the ruling class, which, for him, is the wealthy villagers. </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9-15T11:42:22Z" w:initials="C(">
    <w:p>
      <w:pPr>
        <w:overflowPunct w:val="false"/>
        <w:spacing w:lineRule="auto" w:line="240" w:before="0" w:after="0"/>
        <w:rPr/>
      </w:pPr>
      <w:r>
        <w:rPr>
          <w:rFonts w:eastAsia="DejaVu Sans" w:ascii="Liberation Serif" w:hAnsi="Liberation Serif"/>
          <w:sz w:val="24"/>
          <w:szCs w:val="24"/>
          <w:lang w:val="en-US" w:eastAsia="en-US" w:bidi="en-US"/>
        </w:rPr>
        <w:t>cite evidence that VIL told him to go live on Capri</w:t>
      </w:r>
    </w:p>
  </w:comment>
  <w:comment w:id="1" w:author="Clowes, Edith W (eec3c)" w:date="2024-08-04T13:52:31Z" w:initials="C(">
    <w:p>
      <w:pPr>
        <w:overflowPunct w:val="fals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Maksim Gorʹki</w:t>
      </w:r>
      <w:r>
        <w:rPr>
          <w:rFonts w:ascii="Liberation Serif" w:hAnsi="Liberation Serif"/>
        </w:rPr>
        <w:t>i</w:t>
      </w:r>
      <w:r>
        <w:rPr>
          <w:rFonts w:ascii="Liberation Serif" w:hAnsi="Liberation Serif"/>
        </w:rPr>
        <w:t>, Nesvoevremenn</w:t>
      </w:r>
      <w:r>
        <w:rPr>
          <w:rFonts w:ascii="Liberation Serif" w:hAnsi="Liberation Serif"/>
        </w:rPr>
        <w:t>ai</w:t>
      </w:r>
      <w:r>
        <w:rPr>
          <w:rFonts w:ascii="Liberation Serif" w:hAnsi="Liberation Serif"/>
        </w:rPr>
        <w:t xml:space="preserve">a </w:t>
      </w:r>
      <w:r>
        <w:rPr>
          <w:rFonts w:ascii="Liberation Serif" w:hAnsi="Liberation Serif"/>
        </w:rPr>
        <w:t>m</w:t>
      </w:r>
      <w:r>
        <w:rPr>
          <w:rFonts w:ascii="Liberation Serif" w:hAnsi="Liberation Serif"/>
        </w:rPr>
        <w:t xml:space="preserve">ysli: Zametki o </w:t>
      </w:r>
      <w:r>
        <w:rPr>
          <w:rFonts w:ascii="Liberation Serif" w:hAnsi="Liberation Serif"/>
        </w:rPr>
        <w:t>r</w:t>
      </w:r>
      <w:r>
        <w:rPr>
          <w:rFonts w:ascii="Liberation Serif" w:hAnsi="Liberation Serif"/>
        </w:rPr>
        <w:t xml:space="preserve">evoijucii i </w:t>
      </w:r>
      <w:r>
        <w:rPr>
          <w:rFonts w:ascii="Liberation Serif" w:hAnsi="Liberation Serif"/>
        </w:rPr>
        <w:t>k</w:t>
      </w:r>
      <w:r>
        <w:rPr>
          <w:rFonts w:ascii="Liberation Serif" w:hAnsi="Liberation Serif"/>
        </w:rPr>
        <w:t>ul’ture, ed. Iosif Irmovič Vajnberg (Sovetski</w:t>
      </w:r>
      <w:r>
        <w:rPr>
          <w:rFonts w:ascii="Liberation Serif" w:hAnsi="Liberation Serif"/>
        </w:rPr>
        <w:t>i</w:t>
      </w:r>
      <w:r>
        <w:rPr>
          <w:rFonts w:ascii="Liberation Serif" w:hAnsi="Liberation Serif"/>
        </w:rPr>
        <w:t xml:space="preserve"> pisatel’, 1990), </w:t>
      </w:r>
      <w:r>
        <w:rPr>
          <w:rFonts w:ascii="Liberation Serif" w:hAnsi="Liberation Serif"/>
        </w:rPr>
        <w:t>76.</w:t>
      </w:r>
      <w:r>
        <w:rPr>
          <w:rFonts w:ascii="Liberation Serif" w:hAnsi="Liberation Serif"/>
        </w:rPr>
        <w:t xml:space="preserve">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xml:space="preserve">, 4th ed., vol. 3 (Berlin: Slovo, 1923), </w:t>
      </w:r>
      <w:r>
        <w:rPr>
          <w:rFonts w:ascii="Liberation Serif" w:hAnsi="Liberation Serif"/>
        </w:rPr>
        <w:t xml:space="preserve">233. </w:t>
      </w:r>
      <w:r>
        <w:rPr>
          <w:rFonts w:ascii="Liberation Serif" w:hAnsi="Liberation Serif"/>
        </w:rPr>
        <w:t>“Подарок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bidi w:val="0"/>
        <w:rPr/>
      </w:pPr>
      <w:r>
        <w:rPr>
          <w:rStyle w:val="FootnoteCharacters"/>
        </w:rPr>
        <w:footnoteRef/>
      </w:r>
      <w:r>
        <w:rPr/>
        <w:t xml:space="preserve"> </w:t>
      </w:r>
      <w:r>
        <w:rPr/>
        <w:t>Archive ID 41</w:t>
      </w:r>
    </w:p>
  </w:footnote>
  <w:footnote w:id="5">
    <w:p>
      <w:pPr>
        <w:pStyle w:val="FootnoteText"/>
        <w:bidi w:val="0"/>
        <w:rPr/>
      </w:pPr>
      <w:r>
        <w:rPr>
          <w:rStyle w:val="FootnoteCharacters"/>
        </w:rPr>
        <w:footnoteRef/>
      </w:r>
      <w:r>
        <w:rPr/>
        <w:t xml:space="preserve"> </w:t>
      </w:r>
      <w:r>
        <w:rPr/>
        <w:t>Archive ID 161</w:t>
      </w:r>
    </w:p>
  </w:footnote>
  <w:footnote w:id="6">
    <w:p>
      <w:pPr>
        <w:pStyle w:val="FootnoteText"/>
        <w:bidi w:val="0"/>
        <w:rPr/>
      </w:pPr>
      <w:r>
        <w:rPr>
          <w:rStyle w:val="FootnoteCharacters"/>
        </w:rPr>
        <w:footnoteRef/>
      </w:r>
      <w:r>
        <w:rPr/>
        <w:t xml:space="preserve"> </w:t>
      </w:r>
      <w:r>
        <w:rPr/>
        <w:t>Luke, in chapter 10 of his gospel, quotes this very line between telling the Narrative of the Seventy Apostles and the Parable of the Good Samaritan. (10:19)</w:t>
      </w:r>
    </w:p>
  </w:footnote>
  <w:footnote w:id="7">
    <w:p>
      <w:pPr>
        <w:pStyle w:val="FootnoteText"/>
        <w:bidi w:val="0"/>
        <w:rPr/>
      </w:pPr>
      <w:r>
        <w:rPr>
          <w:rStyle w:val="FootnoteCharacters"/>
        </w:rPr>
        <w:footnoteRef/>
      </w:r>
      <w:r>
        <w:rPr/>
        <w:t xml:space="preserve"> </w:t>
      </w:r>
      <w:r>
        <w:rPr/>
        <w:t>Surguchev, p.147</w:t>
      </w:r>
    </w:p>
  </w:footnote>
  <w:footnote w:id="8">
    <w:p>
      <w:pPr>
        <w:pStyle w:val="FootnoteText"/>
        <w:rPr/>
      </w:pPr>
      <w:r>
        <w:rPr>
          <w:rStyle w:val="FootnoteCharacters"/>
        </w:rPr>
        <w:footnoteRef/>
      </w:r>
      <w:r>
        <w:rPr/>
        <w:t xml:space="preserve"> </w:t>
      </w:r>
      <w:r>
        <w:rPr/>
        <w:t>p. 77</w:t>
      </w:r>
    </w:p>
  </w:footnote>
</w:footnotes>
</file>

<file path=word/settings.xml><?xml version="1.0" encoding="utf-8"?>
<w:settings xmlns:w="http://schemas.openxmlformats.org/wordprocessingml/2006/main">
  <w:zoom w:val="bestFit" w:percent="108"/>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9312</TotalTime>
  <Application>LibreOffice/25.2.1.2$Linux_X86_64 LibreOffice_project/520$Build-2</Application>
  <AppVersion>15.0000</AppVersion>
  <Pages>7</Pages>
  <Words>2332</Words>
  <Characters>12475</Characters>
  <CharactersWithSpaces>14803</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2025-03-15T16:45:52Z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