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Chapter 6</w:t>
      </w:r>
      <w:r>
        <w:rPr/>
        <w:br/>
      </w:r>
      <w:r>
        <w:rPr>
          <w:rFonts w:eastAsia="Times New Roman" w:cs="Times New Roman" w:ascii="Times New Roman" w:hAnsi="Times New Roman"/>
          <w:sz w:val="24"/>
          <w:szCs w:val="24"/>
          <w:u w:val="none"/>
        </w:rPr>
        <w:t>An Intermezzo on Capri</w:t>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br/>
      </w:r>
      <w:r>
        <w:rPr>
          <w:rFonts w:eastAsia="Times New Roman" w:cs="Times New Roman" w:ascii="Times New Roman" w:hAnsi="Times New Roman"/>
          <w:b w:val="false"/>
          <w:bCs w:val="false"/>
          <w:i w:val="false"/>
          <w:iCs w:val="false"/>
          <w:sz w:val="24"/>
          <w:szCs w:val="24"/>
          <w:u w:val="none"/>
          <w:lang w:val="en-US"/>
        </w:rPr>
        <w:t xml:space="preserve">—Gor’kii,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p</w:t>
      </w:r>
      <w:r>
        <w:rPr>
          <w:rFonts w:eastAsia="Times New Roman" w:cs="Times New Roman" w:ascii="Times New Roman" w:hAnsi="Times New Roman"/>
          <w:b w:val="false"/>
          <w:bCs w:val="false"/>
          <w:i w:val="false"/>
          <w:iCs w:val="false"/>
          <w:sz w:val="24"/>
          <w:szCs w:val="24"/>
          <w:u w:val="none"/>
          <w:lang w:val="en-US"/>
        </w:rPr>
        <w:t>e</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i</w:t>
      </w:r>
      <w:r>
        <w:rPr>
          <w:rFonts w:eastAsia="Times New Roman" w:cs="Times New Roman" w:ascii="Times New Roman" w:hAnsi="Times New Roman"/>
          <w:b w:val="false"/>
          <w:bCs w:val="false"/>
          <w:i w:val="false"/>
          <w:iCs w:val="false"/>
          <w:sz w:val="24"/>
          <w:szCs w:val="24"/>
          <w:u w:val="none"/>
          <w:lang w:val="en-US"/>
        </w:rPr>
        <w:t>n</w:t>
      </w:r>
      <w:r>
        <w:rPr>
          <w:rFonts w:eastAsia="Times New Roman" w:cs="Times New Roman" w:ascii="Times New Roman" w:hAnsi="Times New Roman"/>
          <w:b w:val="false"/>
          <w:bCs w:val="false"/>
          <w:i w:val="false"/>
          <w:iCs w:val="false"/>
          <w:sz w:val="24"/>
          <w:szCs w:val="24"/>
          <w:u w:val="none"/>
          <w:lang w:val="en-US"/>
        </w:rPr>
        <w:t xml:space="preserve">g </w:t>
      </w:r>
      <w:r>
        <w:rPr>
          <w:rFonts w:eastAsia="Times New Roman" w:cs="Times New Roman" w:ascii="Times New Roman" w:hAnsi="Times New Roman"/>
          <w:b w:val="false"/>
          <w:bCs w:val="false"/>
          <w:i w:val="false"/>
          <w:iCs w:val="false"/>
          <w:sz w:val="24"/>
          <w:szCs w:val="24"/>
          <w:u w:val="none"/>
          <w:lang w:val="en-US"/>
        </w:rPr>
        <w:t>w</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r</w:t>
      </w:r>
      <w:r>
        <w:rPr>
          <w:rFonts w:eastAsia="Times New Roman" w:cs="Times New Roman" w:ascii="Times New Roman" w:hAnsi="Times New Roman"/>
          <w:b w:val="false"/>
          <w:bCs w:val="false"/>
          <w:i w:val="false"/>
          <w:iCs w:val="false"/>
          <w:sz w:val="24"/>
          <w:szCs w:val="24"/>
          <w:u w:val="none"/>
          <w:lang w:val="en-US"/>
        </w:rPr>
        <w:t>d</w:t>
      </w:r>
      <w:r>
        <w:rPr>
          <w:rFonts w:eastAsia="Times New Roman" w:cs="Times New Roman" w:ascii="Times New Roman" w:hAnsi="Times New Roman"/>
          <w:b w:val="false"/>
          <w:bCs w:val="false"/>
          <w:i w:val="false"/>
          <w:iCs w:val="false"/>
          <w:sz w:val="24"/>
          <w:szCs w:val="24"/>
          <w:u w:val="none"/>
          <w:lang w:val="en-US"/>
        </w:rPr>
        <w:t xml:space="preserve">s </w:t>
      </w:r>
      <w:r>
        <w:rPr>
          <w:rFonts w:eastAsia="Times New Roman" w:cs="Times New Roman" w:ascii="Times New Roman" w:hAnsi="Times New Roman"/>
          <w:b w:val="false"/>
          <w:bCs w:val="false"/>
          <w:i w:val="false"/>
          <w:iCs w:val="false"/>
          <w:sz w:val="24"/>
          <w:szCs w:val="24"/>
          <w:u w:val="none"/>
          <w:lang w:val="en-US"/>
        </w:rPr>
        <w:t>o</w:t>
      </w:r>
      <w:r>
        <w:rPr>
          <w:rFonts w:eastAsia="Times New Roman" w:cs="Times New Roman" w:ascii="Times New Roman" w:hAnsi="Times New Roman"/>
          <w:b w:val="false"/>
          <w:bCs w:val="false"/>
          <w:i w:val="false"/>
          <w:iCs w:val="false"/>
          <w:sz w:val="24"/>
          <w:szCs w:val="24"/>
          <w:u w:val="none"/>
          <w:lang w:val="en-US"/>
        </w:rPr>
        <w:t xml:space="preserve">f </w:t>
      </w:r>
      <w:r>
        <w:rPr>
          <w:rFonts w:eastAsia="Times New Roman" w:cs="Times New Roman" w:ascii="Times New Roman" w:hAnsi="Times New Roman"/>
          <w:b w:val="false"/>
          <w:bCs w:val="false"/>
          <w:i w:val="false"/>
          <w:iCs w:val="false"/>
          <w:sz w:val="24"/>
          <w:szCs w:val="24"/>
          <w:u w:val="none"/>
          <w:lang w:val="en-US"/>
        </w:rPr>
        <w:t>“Untimely Thoughts,” (1917)</w:t>
      </w:r>
      <w:r>
        <w:rPr>
          <w:rStyle w:val="FootnoteReference"/>
          <w:rFonts w:eastAsia="Times New Roman" w:cs="Times New Roman" w:ascii="Times New Roman" w:hAnsi="Times New Roman"/>
          <w:b w:val="false"/>
          <w:bCs w:val="false"/>
          <w:i w:val="false"/>
          <w:iCs w:val="false"/>
          <w:sz w:val="24"/>
          <w:szCs w:val="24"/>
          <w:u w:val="none"/>
          <w:lang w:val="en-US"/>
        </w:rPr>
        <w:footnoteReference w:id="2"/>
      </w:r>
    </w:p>
    <w:p>
      <w:pPr>
        <w:pStyle w:val="Normal"/>
        <w:spacing w:lineRule="auto" w:line="276"/>
        <w:jc w:val="right"/>
        <w:rPr>
          <w:rFonts w:ascii="Times New Roman" w:hAnsi="Times New Roman" w:eastAsia="Times New Roman" w:cs="Times New Roman"/>
          <w:b w:val="false"/>
          <w:bCs w:val="false"/>
          <w:i w:val="false"/>
          <w:i w:val="false"/>
          <w:iCs w:val="false"/>
          <w:sz w:val="24"/>
          <w:szCs w:val="24"/>
          <w:u w:val="none"/>
          <w:lang w:val="en-US"/>
        </w:rPr>
      </w:pPr>
      <w:r>
        <w:rPr>
          <w:rFonts w:eastAsia="Times New Roman" w:cs="Times New Roman" w:ascii="Times New Roman" w:hAnsi="Times New Roman"/>
          <w:b w:val="false"/>
          <w:bCs w:val="false"/>
          <w:i w:val="false"/>
          <w:iCs w:val="false"/>
          <w:sz w:val="24"/>
          <w:szCs w:val="24"/>
          <w:u w:val="none"/>
          <w:lang w:val="en-US"/>
        </w:rPr>
        <w:t>“</w:t>
      </w:r>
      <w:r>
        <w:rPr>
          <w:rFonts w:eastAsia="Times New Roman" w:cs="Times New Roman" w:ascii="Times New Roman" w:hAnsi="Times New Roman"/>
          <w:b w:val="false"/>
          <w:bCs w:val="false"/>
          <w:i w:val="false"/>
          <w:iCs w:val="false"/>
          <w:sz w:val="24"/>
          <w:szCs w:val="24"/>
          <w:u w:val="none"/>
          <w:lang w:val="en-US"/>
        </w:rPr>
        <w:t>The gift of all gifts is the truth... Now the vagabonds are shod, and now the private professors are destitute. Has it become better in Russia? Have the sprouts of the Social-Democratic School, with Rector Gor’kii at its helm, transplanted from under the blue Capri sky to the Russian soil, grown as the conscientious gardener dreamed?..”</w:t>
      </w:r>
      <w:r>
        <w:rPr/>
        <w:br/>
      </w:r>
      <w:r>
        <w:rPr>
          <w:rFonts w:eastAsia="Times New Roman" w:cs="Times New Roman" w:ascii="Times New Roman" w:hAnsi="Times New Roman"/>
          <w:b w:val="false"/>
          <w:bCs w:val="false"/>
          <w:i w:val="false"/>
          <w:iCs w:val="false"/>
          <w:sz w:val="24"/>
          <w:szCs w:val="24"/>
          <w:u w:val="none"/>
          <w:lang w:val="en-US"/>
        </w:rPr>
        <w:t>–I. I. Aikhenval’d, “Maksim Gor’kii” (1918)</w:t>
      </w:r>
      <w:r>
        <w:rPr>
          <w:rStyle w:val="FootnoteReference"/>
          <w:rFonts w:eastAsia="Times New Roman" w:cs="Times New Roman" w:ascii="Times New Roman" w:hAnsi="Times New Roman"/>
          <w:b w:val="false"/>
          <w:bCs w:val="false"/>
          <w:i w:val="false"/>
          <w:iCs w:val="false"/>
          <w:sz w:val="24"/>
          <w:szCs w:val="24"/>
          <w:u w:val="none"/>
          <w:lang w:val="en-US"/>
        </w:rPr>
        <w:footnoteReference w:id="3"/>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important people remained weakened by the “harsh lessons of the past” and thus prone to old ways.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’s first four chapters aim to define the “lessons” to which Gor’kii alludes here, his proclamations of “Truth” based on decades of witnessing history up close and personal</w:t>
      </w:r>
      <w:r>
        <w:rPr>
          <w:rFonts w:eastAsia="Times New Roman" w:cs="Times New Roman" w:ascii="Times New Roman" w:hAnsi="Times New Roman"/>
          <w:i w:val="false"/>
          <w:iCs w:val="false"/>
          <w:sz w:val="24"/>
          <w:szCs w:val="24"/>
          <w:u w:val="none"/>
        </w:rPr>
        <w:t>ly</w:t>
      </w:r>
      <w:r>
        <w:rPr>
          <w:rFonts w:eastAsia="Times New Roman" w:cs="Times New Roman" w:ascii="Times New Roman" w:hAnsi="Times New Roman"/>
          <w:i w:val="false"/>
          <w:iCs w:val="false"/>
          <w:sz w:val="24"/>
          <w:szCs w:val="24"/>
          <w:u w:val="none"/>
        </w:rPr>
        <w:t xml:space="preserve">. Such is “the gift of all gifts” about which Aikhenval’d wrote: change is possible, but there is no outrunning the past. Gor’kii knew this better than most around him, though that did not stop him from trying to </w:t>
      </w:r>
      <w:r>
        <w:rPr>
          <w:rFonts w:eastAsia="Times New Roman" w:cs="Times New Roman" w:ascii="Times New Roman" w:hAnsi="Times New Roman"/>
          <w:i w:val="false"/>
          <w:iCs w:val="false"/>
          <w:sz w:val="24"/>
          <w:szCs w:val="24"/>
          <w:u w:val="none"/>
        </w:rPr>
        <w:t>fundamentally</w:t>
      </w:r>
      <w:r>
        <w:rPr>
          <w:rFonts w:eastAsia="Times New Roman" w:cs="Times New Roman" w:ascii="Times New Roman" w:hAnsi="Times New Roman"/>
          <w:i w:val="false"/>
          <w:iCs w:val="false"/>
          <w:sz w:val="24"/>
          <w:szCs w:val="24"/>
          <w:u w:val="none"/>
        </w:rPr>
        <w:t xml:space="preserve"> change human nature. The Capri School and its “sprouts” were the new Soviet people Gor’kii had been hoping to sow across the country. Unfortunately, Russian soil was simply too hostile for these ideas to take root.</w:t>
      </w:r>
    </w:p>
    <w:p>
      <w:pPr>
        <w:pStyle w:val="Normal"/>
        <w:suppressLineNumbers w:val="0"/>
        <w:bidi w:val="0"/>
        <w:spacing w:lineRule="auto" w:line="480" w:before="0" w:after="160"/>
        <w:ind w:firstLine="720" w:left="0" w:right="0"/>
        <w:jc w:val="left"/>
        <w:rPr>
          <w:rFonts w:ascii="Times New Roman" w:hAnsi="Times New Roman" w:eastAsia="Times New Roman" w:cs="Times New Roman"/>
          <w:sz w:val="24"/>
          <w:szCs w:val="24"/>
          <w:u w:val="none"/>
        </w:rPr>
      </w:pPr>
      <w:r>
        <w:rPr>
          <w:rFonts w:eastAsia="Times New Roman" w:cs="Times New Roman" w:ascii="Times New Roman" w:hAnsi="Times New Roman"/>
          <w:sz w:val="24"/>
          <w:szCs w:val="24"/>
          <w:u w:val="none"/>
        </w:rPr>
        <w:t>At the beginning of this investigation, it seemed as though Gor’kii was trying with all his might to divorce Russia’s future from its Orthodox past; however, as I pause at this inflection point, it seems more that he was trying to move the Russian Orthodox tradition away from its contemporary trajectory and toward something new. Having documented a portion of the evidence that Gor’kii was deeply concerned about people’s spiritual needs, I would like to suggest that he went on to spread that concern to other revolutionary writers and, to the extent that he could, to Bolshevik cultural politics. Archival research done in June 2023 in Italy lends insight into Gor’kii’s intentions and actions following Bloody Sunday. With additional analysis of the young writers learning his style, I show how the spirit of his post-Christian transpositions continued in the works of Il’ia Surguchёv (1881-1956), Ivan Vol’nov (1885-1931), and Aleksei Zolotarёv (1879-1950).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arose from two supposition</w:t>
      </w:r>
      <w:r>
        <w:rPr>
          <w:rFonts w:eastAsia="Times New Roman" w:cs="Times New Roman" w:ascii="Times New Roman" w:hAnsi="Times New Roman"/>
          <w:i w:val="false"/>
          <w:iCs w:val="false"/>
          <w:sz w:val="24"/>
          <w:szCs w:val="24"/>
          <w:u w:val="none"/>
        </w:rPr>
        <w:t>s</w:t>
      </w:r>
      <w:r>
        <w:rPr>
          <w:rFonts w:eastAsia="Times New Roman" w:cs="Times New Roman" w:ascii="Times New Roman" w:hAnsi="Times New Roman"/>
          <w:i w:val="false"/>
          <w:iCs w:val="false"/>
          <w:sz w:val="24"/>
          <w:szCs w:val="24"/>
          <w:u w:val="none"/>
        </w:rPr>
        <w:t xml:space="preserve">: first, that change, especially radical change, happens gradually and with at least some continuity with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His pre-revolutionary literature projects </w:t>
      </w:r>
      <w:r>
        <w:rPr>
          <w:rFonts w:eastAsia="Times New Roman" w:cs="Times New Roman" w:ascii="Times New Roman" w:hAnsi="Times New Roman"/>
          <w:i w:val="false"/>
          <w:iCs w:val="false"/>
          <w:sz w:val="24"/>
          <w:szCs w:val="24"/>
          <w:u w:val="none"/>
        </w:rPr>
        <w:t>a</w:t>
      </w:r>
      <w:r>
        <w:rPr>
          <w:rFonts w:eastAsia="Times New Roman" w:cs="Times New Roman" w:ascii="Times New Roman" w:hAnsi="Times New Roman"/>
          <w:i w:val="false"/>
          <w:iCs w:val="false"/>
          <w:sz w:val="24"/>
          <w:szCs w:val="24"/>
          <w:u w:val="none"/>
        </w:rPr>
        <w:t xml:space="preserve"> vision for a renewed foundational narrative to serve Russia after the Romanovs and institutional Orthodoxy. In the body of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I bring to light Gor’kii’s spiritual humanism, a complex web of personal ethics, popular Christianity, political economics, and faith in Russians to evolve </w:t>
      </w:r>
      <w:r>
        <w:rPr>
          <w:rFonts w:eastAsia="Times New Roman" w:cs="Times New Roman" w:ascii="Times New Roman" w:hAnsi="Times New Roman"/>
          <w:i w:val="false"/>
          <w:iCs w:val="false"/>
          <w:sz w:val="24"/>
          <w:szCs w:val="24"/>
          <w:u w:val="none"/>
        </w:rPr>
        <w:t>on command</w:t>
      </w:r>
      <w:r>
        <w:rPr>
          <w:rFonts w:eastAsia="Times New Roman" w:cs="Times New Roman" w:ascii="Times New Roman" w:hAnsi="Times New Roman"/>
          <w:i w:val="false"/>
          <w:iCs w:val="false"/>
          <w:sz w:val="24"/>
          <w:szCs w:val="24"/>
          <w:u w:val="none"/>
        </w:rPr>
        <w:t xml:space="preserve">. My discussion points out how Gor’kii transposed elements of the Christian literature, from names to phrases to doctrine to entire books of the Bible, to show his readers a distinct-yet-recognizable post-Christian way of life that could and should be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’s future. Perhaps most importantly, </w:t>
      </w:r>
      <w:r>
        <w:rPr>
          <w:rFonts w:eastAsia="Times New Roman" w:cs="Times New Roman" w:ascii="Times New Roman" w:hAnsi="Times New Roman"/>
          <w:i/>
          <w:iCs/>
          <w:sz w:val="24"/>
          <w:szCs w:val="24"/>
          <w:u w:val="none"/>
        </w:rPr>
        <w:t>A Revolutionary Gospel</w:t>
      </w:r>
      <w:r>
        <w:rPr>
          <w:rFonts w:eastAsia="Times New Roman" w:cs="Times New Roman" w:ascii="Times New Roman" w:hAnsi="Times New Roman"/>
          <w:i w:val="false"/>
          <w:iCs w:val="false"/>
          <w:sz w:val="24"/>
          <w:szCs w:val="24"/>
          <w:u w:val="none"/>
        </w:rPr>
        <w:t xml:space="preserve"> offers scholars and readers a different, capacious avenue of understanding Gor’kii and his contemporaries. This study takes a heretical approach to analyzing its subject. Gor'kii may not have been outright lying when he called himself an “atheist,” but he was not telling the whole truth. In fact, he believed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could be God themselves</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if they were up to the task. There is no such thing as an atheist; </w:t>
      </w:r>
      <w:r>
        <w:rPr>
          <w:rFonts w:eastAsia="Times New Roman" w:cs="Times New Roman" w:ascii="Times New Roman" w:hAnsi="Times New Roman"/>
          <w:i w:val="false"/>
          <w:iCs w:val="false"/>
          <w:sz w:val="24"/>
          <w:szCs w:val="24"/>
          <w:u w:val="none"/>
        </w:rPr>
        <w:t>th</w:t>
      </w:r>
      <w:r>
        <w:rPr>
          <w:rFonts w:eastAsia="Times New Roman" w:cs="Times New Roman" w:ascii="Times New Roman" w:hAnsi="Times New Roman"/>
          <w:i w:val="false"/>
          <w:iCs w:val="false"/>
          <w:sz w:val="24"/>
          <w:szCs w:val="24"/>
          <w:u w:val="none"/>
        </w:rPr>
        <w:t xml:space="preserve">at is the gospel truth.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At times, life subordinates what we have planned in favor of what others have planned for us. Such was the life and fate of Gor’kii when </w:t>
      </w:r>
      <w:commentRangeStart w:id="0"/>
      <w:r>
        <w:rPr>
          <w:rFonts w:eastAsia="Times New Roman" w:cs="Times New Roman" w:ascii="Times New Roman" w:hAnsi="Times New Roman"/>
          <w:i w:val="false"/>
          <w:iCs w:val="false"/>
          <w:sz w:val="24"/>
          <w:szCs w:val="24"/>
          <w:u w:val="none"/>
        </w:rPr>
        <w:t>Lenin tasked him</w:t>
      </w:r>
      <w:r>
        <w:rPr>
          <w:rFonts w:eastAsia="Times New Roman" w:cs="Times New Roman" w:ascii="Times New Roman" w:hAnsi="Times New Roman"/>
          <w:i w:val="false"/>
          <w:iCs w:val="false"/>
          <w:sz w:val="24"/>
          <w:szCs w:val="24"/>
          <w:u w:val="none"/>
        </w:rPr>
      </w:r>
      <w:commentRangeEnd w:id="0"/>
      <w:r>
        <w:commentReference w:id="0"/>
      </w:r>
      <w:r>
        <w:rPr>
          <w:rFonts w:eastAsia="Times New Roman" w:cs="Times New Roman" w:ascii="Times New Roman" w:hAnsi="Times New Roman"/>
          <w:i w:val="false"/>
          <w:iCs w:val="false"/>
          <w:sz w:val="24"/>
          <w:szCs w:val="24"/>
          <w:u w:val="none"/>
        </w:rPr>
        <w:t xml:space="preserve"> with running the Capri Workers' School following Bloody Sunday. In reality, the so-called school itself only lasted four-and-a-half months, from July 23 to December 7, 1909, when Lenin discovered what kind of institution Headmaster Gor'kii was truly running. The exact nature of the Capri School curriculum is debatable, as nothing has been discovered attesting to precisely what Gor’kii was teaching on Capri. Archival materials provide information, however, on the curriculum of the Bologna Workers' School run by Lunacharskii, which received </w:t>
      </w:r>
      <w:commentRangeStart w:id="1"/>
      <w:r>
        <w:rPr>
          <w:rFonts w:eastAsia="Times New Roman" w:cs="Times New Roman" w:ascii="Times New Roman" w:hAnsi="Times New Roman"/>
          <w:i w:val="false"/>
          <w:iCs w:val="false"/>
          <w:sz w:val="24"/>
          <w:szCs w:val="24"/>
          <w:u w:val="none"/>
        </w:rPr>
        <w:t>Lenin’s continuing support</w:t>
      </w:r>
      <w:r>
        <w:rPr>
          <w:rFonts w:eastAsia="Times New Roman" w:cs="Times New Roman" w:ascii="Times New Roman" w:hAnsi="Times New Roman"/>
          <w:i w:val="false"/>
          <w:iCs w:val="false"/>
          <w:sz w:val="24"/>
          <w:szCs w:val="24"/>
          <w:u w:val="none"/>
        </w:rPr>
      </w:r>
      <w:commentRangeEnd w:id="1"/>
      <w:r>
        <w:commentReference w:id="1"/>
      </w:r>
      <w:r>
        <w:rPr>
          <w:rFonts w:eastAsia="Times New Roman" w:cs="Times New Roman" w:ascii="Times New Roman" w:hAnsi="Times New Roman"/>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and “Practical Occupations, Propaganda, Agitation, Etc.” (taught by Andrei Sokolov).</w:t>
      </w:r>
      <w:r>
        <w:rPr>
          <w:rStyle w:val="FootnoteReference"/>
          <w:rFonts w:eastAsia="Times New Roman" w:cs="Times New Roman" w:ascii="Times New Roman" w:hAnsi="Times New Roman"/>
          <w:i w:val="false"/>
          <w:iCs w:val="false"/>
          <w:sz w:val="24"/>
          <w:szCs w:val="24"/>
          <w:u w:val="none"/>
        </w:rPr>
        <w:footnoteReference w:id="4"/>
      </w:r>
      <w:r>
        <w:rPr>
          <w:rFonts w:eastAsia="Times New Roman" w:cs="Times New Roman" w:ascii="Times New Roman" w:hAnsi="Times New Roman"/>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ascii="Times New Roman" w:hAnsi="Times New Roman"/>
          <w:i w:val="false"/>
          <w:iCs w:val="false"/>
          <w:sz w:val="24"/>
          <w:szCs w:val="24"/>
          <w:u w:val="none"/>
        </w:rPr>
        <w:footnoteReference w:id="5"/>
      </w:r>
      <w:r>
        <w:rPr>
          <w:rFonts w:eastAsia="Times New Roman" w:cs="Times New Roman" w:ascii="Times New Roman" w:hAnsi="Times New Roman"/>
          <w:i w:val="false"/>
          <w:iCs w:val="false"/>
          <w:sz w:val="24"/>
          <w:szCs w:val="24"/>
          <w:u w:val="none"/>
        </w:rPr>
        <w:t xml:space="preserve"> One may extrapolate from this information</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as well as from the fact that much else surrounding the School seems to have been destroyed</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that Gor’kii was taking advantage of the distance afforded by the Italian island to conduct classes his own </w:t>
      </w:r>
      <w:r>
        <w:rPr>
          <w:rFonts w:eastAsia="Times New Roman" w:cs="Times New Roman" w:ascii="Times New Roman" w:hAnsi="Times New Roman"/>
          <w:i w:val="false"/>
          <w:iCs w:val="false"/>
          <w:sz w:val="24"/>
          <w:szCs w:val="24"/>
          <w:u w:val="none"/>
        </w:rPr>
        <w:t>transpositional</w:t>
      </w:r>
      <w:r>
        <w:rPr>
          <w:rFonts w:eastAsia="Times New Roman" w:cs="Times New Roman" w:ascii="Times New Roman" w:hAnsi="Times New Roman"/>
          <w:i w:val="false"/>
          <w:iCs w:val="false"/>
          <w:sz w:val="24"/>
          <w:szCs w:val="24"/>
          <w:u w:val="none"/>
        </w:rPr>
        <w:t xml:space="preserve"> way. Despite the fact so little is left in the official record from the Capri School, we may nevertheless learn more from the unofficial record: </w:t>
      </w:r>
      <w:r>
        <w:rPr>
          <w:rFonts w:eastAsia="Times New Roman" w:cs="Times New Roman" w:ascii="Times New Roman" w:hAnsi="Times New Roman"/>
          <w:i w:val="false"/>
          <w:iCs w:val="false"/>
          <w:sz w:val="24"/>
          <w:szCs w:val="24"/>
          <w:u w:val="none"/>
        </w:rPr>
        <w:t>t</w:t>
      </w:r>
      <w:r>
        <w:rPr>
          <w:rFonts w:eastAsia="Times New Roman" w:cs="Times New Roman" w:ascii="Times New Roman" w:hAnsi="Times New Roman"/>
          <w:i w:val="false"/>
          <w:iCs w:val="false"/>
          <w:sz w:val="24"/>
          <w:szCs w:val="24"/>
          <w:u w:val="none"/>
        </w:rPr>
        <w:t>he students of the School who studied directly under Gor'kii strove to become talented writers in their own right.</w:t>
      </w:r>
    </w:p>
    <w:p>
      <w:pPr>
        <w:pStyle w:val="Normal"/>
        <w:suppressLineNumbers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Not every visitor to Capri is recorded, but there is a small number of other writers’ works attributable directly to Gor’kii’s mentorship on the island. The purpose of the following section, thus, is to establish for future research that Gor’kii used his time during and after the Capri School to teach others the post-Christian philosophy and method at the center of the current study. My aim is therefore to seek further avenues of investigation into both the nature and purpose of such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Dmitrievich Surguchёv (1881 – 1956), Ivan Egorovich Vol’nov (ne</w:t>
      </w:r>
      <w:r>
        <w:rPr>
          <w:rFonts w:eastAsia="Liberation Serif" w:cs="Liberation Serif" w:ascii="Liberation Serif" w:hAnsi="Liberation Serif"/>
          <w:i w:val="false"/>
          <w:iCs w:val="false"/>
          <w:sz w:val="24"/>
          <w:szCs w:val="24"/>
          <w:u w:val="none"/>
        </w:rPr>
        <w:t>́</w:t>
      </w:r>
      <w:r>
        <w:rPr>
          <w:rFonts w:eastAsia="Times New Roman" w:cs="Times New Roman" w:ascii="Times New Roman" w:hAnsi="Times New Roman"/>
          <w:i w:val="false"/>
          <w:iCs w:val="false"/>
          <w:sz w:val="24"/>
          <w:szCs w:val="24"/>
          <w:u w:val="none"/>
        </w:rPr>
        <w:t xml:space="preserve"> Vladimirov, 1885 – 1931), Aleksei Alekseevich Zolotarёv (1879 – 1950), that were begun, </w:t>
      </w:r>
      <w:r>
        <w:rPr>
          <w:rFonts w:eastAsia="Times New Roman" w:cs="Times New Roman" w:ascii="Times New Roman" w:hAnsi="Times New Roman"/>
          <w:i w:val="false"/>
          <w:iCs w:val="false"/>
          <w:sz w:val="24"/>
          <w:szCs w:val="24"/>
          <w:u w:val="none"/>
        </w:rPr>
        <w:t>developed</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val="false"/>
          <w:iCs w:val="false"/>
          <w:sz w:val="24"/>
          <w:szCs w:val="24"/>
          <w:u w:val="none"/>
        </w:rPr>
        <w:t xml:space="preserve">and </w:t>
      </w:r>
      <w:r>
        <w:rPr>
          <w:rFonts w:eastAsia="Times New Roman" w:cs="Times New Roman" w:ascii="Times New Roman" w:hAnsi="Times New Roman"/>
          <w:i w:val="false"/>
          <w:iCs w:val="false"/>
          <w:sz w:val="24"/>
          <w:szCs w:val="24"/>
          <w:u w:val="none"/>
        </w:rPr>
        <w:t xml:space="preserve">or finished on Capri in consultation with Gor’kii in 1909-13. These works form a second generation of post-Christian transpositions elevating the common Russian to the role of liberator of the </w:t>
      </w:r>
      <w:r>
        <w:rPr>
          <w:rFonts w:eastAsia="Times New Roman" w:cs="Times New Roman" w:ascii="Times New Roman" w:hAnsi="Times New Roman"/>
          <w:i/>
          <w:iCs/>
          <w:sz w:val="24"/>
          <w:szCs w:val="24"/>
          <w:u w:val="none"/>
        </w:rPr>
        <w:t>narod</w:t>
      </w:r>
      <w:r>
        <w:rPr>
          <w:rFonts w:eastAsia="Times New Roman" w:cs="Times New Roman" w:ascii="Times New Roman" w:hAnsi="Times New Roman"/>
          <w:i w:val="false"/>
          <w:iCs w:val="false"/>
          <w:sz w:val="24"/>
          <w:szCs w:val="24"/>
          <w:u w:val="none"/>
        </w:rPr>
        <w:t xml:space="preserve"> from a morally bankrupt ruling class. </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first of Gor’kii’s visitors was Il'ia Dmitrievich Surguchёv, the son of a wealthy businessman, a graduate of the Stavropol seminary, and fellow member of the Znanie publishing collective. Records of Gor’kii’s influence on Surguchёv's work starts in April 1910, approximately when the younger author began publishing. Two years later, in the thirty-ninth edition of Znanie, Surguchёv’s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Gubernator</w:t>
      </w:r>
      <w:r>
        <w:rPr>
          <w:rFonts w:eastAsia="Times New Roman" w:cs="Times New Roman" w:ascii="Times New Roman" w:hAnsi="Times New Roman"/>
          <w:i w:val="false"/>
          <w:iCs w:val="false"/>
          <w:sz w:val="24"/>
          <w:szCs w:val="24"/>
          <w:u w:val="none"/>
        </w:rPr>
        <w:t xml:space="preserve">] (1912) was published. The novel demonstrates several commonalities with Gor’kii’s </w:t>
      </w:r>
      <w:r>
        <w:rPr>
          <w:rFonts w:eastAsia="Times New Roman" w:cs="Times New Roman" w:ascii="Times New Roman" w:hAnsi="Times New Roman"/>
          <w:i/>
          <w:iCs/>
          <w:sz w:val="24"/>
          <w:szCs w:val="24"/>
          <w:u w:val="none"/>
        </w:rPr>
        <w:t>Mother</w:t>
      </w:r>
      <w:r>
        <w:rPr>
          <w:rFonts w:eastAsia="Times New Roman" w:cs="Times New Roman" w:ascii="Times New Roman" w:hAnsi="Times New Roman"/>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Times New Roman" w:hAnsi="Times New Roman"/>
          <w:i/>
          <w:iCs/>
          <w:sz w:val="24"/>
          <w:szCs w:val="24"/>
          <w:u w:val="none"/>
        </w:rPr>
        <w:t>pribezishche moe i zashchita moia</w:t>
      </w:r>
      <w:r>
        <w:rPr>
          <w:rFonts w:eastAsia="Times New Roman" w:cs="Times New Roman" w:ascii="Times New Roman" w:hAnsi="Times New Roman"/>
          <w:i w:val="false"/>
          <w:iCs w:val="false"/>
          <w:sz w:val="24"/>
          <w:szCs w:val="24"/>
          <w:u w:val="none"/>
        </w:rPr>
        <w:t xml:space="preserve">], is a transpositional leitmotif throughout the first two-thirds of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Times New Roman" w:hAnsi="Times New Roman"/>
          <w:i w:val="false"/>
          <w:iCs w:val="false"/>
          <w:sz w:val="24"/>
          <w:szCs w:val="24"/>
          <w:u w:val="none"/>
        </w:rPr>
        <w:footnoteReference w:id="6"/>
      </w:r>
      <w:r>
        <w:rPr>
          <w:rFonts w:eastAsia="Times New Roman" w:cs="Times New Roman" w:ascii="Times New Roman" w:hAnsi="Times New Roman"/>
          <w:i w:val="false"/>
          <w:iCs w:val="false"/>
          <w:sz w:val="24"/>
          <w:szCs w:val="24"/>
          <w:u w:val="none"/>
        </w:rPr>
        <w:t xml:space="preserve"> Elsewhere in </w:t>
      </w:r>
      <w:r>
        <w:rPr>
          <w:rFonts w:eastAsia="Times New Roman" w:cs="Times New Roman" w:ascii="Times New Roman" w:hAnsi="Times New Roman"/>
          <w:i/>
          <w:iCs/>
          <w:sz w:val="24"/>
          <w:szCs w:val="24"/>
          <w:u w:val="none"/>
        </w:rPr>
        <w:t>The Governor</w:t>
      </w:r>
      <w:r>
        <w:rPr>
          <w:rFonts w:eastAsia="Times New Roman" w:cs="Times New Roman" w:ascii="Times New Roman" w:hAnsi="Times New Roman"/>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Times New Roman" w:hAnsi="Times New Roman"/>
          <w:i w:val="false"/>
          <w:iCs w:val="false"/>
          <w:sz w:val="24"/>
          <w:szCs w:val="24"/>
          <w:u w:val="none"/>
        </w:rPr>
        <w:footnoteReference w:id="7"/>
      </w:r>
      <w:r>
        <w:rPr>
          <w:rFonts w:eastAsia="Times New Roman" w:cs="Times New Roman" w:ascii="Times New Roman" w:hAnsi="Times New Roman"/>
          <w:i w:val="false"/>
          <w:iCs w:val="false"/>
          <w:sz w:val="24"/>
          <w:szCs w:val="24"/>
          <w:u w:val="none"/>
        </w:rPr>
        <w:t xml:space="preserve"> The fire only goes out once the governor’s young daughter dies, the event which becomes the ultimate impetus for his internal conversion. 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t xml:space="preserve">The second of Gor’kii’s visitors was Il’ia Egorovich Vol’nov, a revolutionary writer from a destitute peasant background, which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Times New Roman" w:hAnsi="Times New Roman"/>
          <w:i/>
          <w:iCs/>
          <w:sz w:val="24"/>
          <w:szCs w:val="24"/>
          <w:u w:val="none"/>
        </w:rPr>
        <w:t>The Story of the Days of My Life: A Peasant Chronicle</w:t>
      </w:r>
      <w:r>
        <w:rPr>
          <w:rFonts w:eastAsia="Times New Roman" w:cs="Times New Roman" w:ascii="Times New Roman" w:hAnsi="Times New Roman"/>
          <w:i w:val="false"/>
          <w:iCs w:val="false"/>
          <w:sz w:val="24"/>
          <w:szCs w:val="24"/>
          <w:u w:val="none"/>
        </w:rPr>
        <w:t xml:space="preserve"> [</w:t>
      </w:r>
      <w:r>
        <w:rPr>
          <w:rFonts w:eastAsia="Times New Roman" w:cs="Times New Roman" w:ascii="Times New Roman" w:hAnsi="Times New Roman"/>
          <w:i/>
          <w:iCs/>
          <w:sz w:val="24"/>
          <w:szCs w:val="24"/>
          <w:u w:val="none"/>
        </w:rPr>
        <w:t>Povest’ o dniakh moei zhizni: Krest’iankaia khronika</w:t>
      </w:r>
      <w:r>
        <w:rPr>
          <w:rFonts w:eastAsia="Times New Roman" w:cs="Times New Roman" w:ascii="Times New Roman" w:hAnsi="Times New Roman"/>
          <w:i w:val="false"/>
          <w:iCs w:val="false"/>
          <w:sz w:val="24"/>
          <w:szCs w:val="24"/>
          <w:u w:val="none"/>
        </w:rPr>
        <w:t>]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Times New Roman" w:hAnsi="Times New Roman"/>
          <w:i w:val="false"/>
          <w:iCs w:val="false"/>
          <w:sz w:val="24"/>
          <w:szCs w:val="24"/>
          <w:u w:val="none"/>
        </w:rPr>
        <w:footnoteReference w:id="8"/>
      </w:r>
      <w:r>
        <w:rPr>
          <w:rFonts w:eastAsia="Times New Roman" w:cs="Times New Roman" w:ascii="Times New Roman" w:hAnsi="Times New Roman"/>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Times New Roman" w:hAnsi="Times New Roman"/>
          <w:i/>
          <w:iCs/>
          <w:sz w:val="24"/>
          <w:szCs w:val="24"/>
          <w:u w:val="none"/>
        </w:rPr>
        <w:t>Nikolai Chudotvorets</w:t>
      </w:r>
      <w:r>
        <w:rPr>
          <w:rFonts w:eastAsia="Times New Roman" w:cs="Times New Roman" w:ascii="Times New Roman" w:hAnsi="Times New Roman"/>
          <w:i w:val="false"/>
          <w:iCs w:val="false"/>
          <w:sz w:val="24"/>
          <w:szCs w:val="24"/>
          <w:u w:val="none"/>
        </w:rPr>
        <w:t>]. They approach a farmer, asking, “What do you sow?” A destitute man responds humbly, which inspires Christ to promise a bountiful crop. The food he is growing, buckwheat, is a stereotypical peasant food among Russians and other Slavs in Eastern Europe. When they approach a rich farmer with the same question, he ignore Christ’s question and spits on Peter the Apostle, leaving the trio nonplussed. Vol’nov takes the four types of ground, which are to symbolize people’s receptiveness to Christ’s message, and distills them into two socioeconomic populations: the poor and the rich. Similar to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left="0" w:right="0"/>
        <w:jc w:val="left"/>
        <w:rPr>
          <w:rFonts w:ascii="Times New Roman" w:hAnsi="Times New Roman" w:eastAsia="Times New Roman" w:cs="Times New Roman"/>
          <w:i w:val="false"/>
          <w:i w:val="false"/>
          <w:iCs w:val="false"/>
          <w:sz w:val="24"/>
          <w:szCs w:val="24"/>
          <w:u w:val="none"/>
        </w:rPr>
      </w:pPr>
      <w:r>
        <w:rPr>
          <w:rFonts w:eastAsia="Times New Roman" w:cs="Times New Roman" w:ascii="Times New Roman" w:hAnsi="Times New Roman"/>
          <w:i w:val="false"/>
          <w:iCs w:val="false"/>
          <w:sz w:val="24"/>
          <w:szCs w:val="24"/>
          <w:u w:val="non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9-15T11:42:22Z" w:initials="C(">
    <w:p>
      <w:pPr>
        <w:overflowPunct w:val="false"/>
        <w:spacing w:lineRule="auto" w:line="240" w:before="0" w:after="0"/>
        <w:rPr/>
      </w:pPr>
      <w:r>
        <w:rPr>
          <w:rFonts w:eastAsia="DejaVu Sans" w:ascii="Liberation Serif" w:hAnsi="Liberation Serif"/>
          <w:sz w:val="24"/>
          <w:szCs w:val="24"/>
          <w:lang w:val="en-US" w:eastAsia="en-US" w:bidi="en-US"/>
        </w:rPr>
        <w:t>cite evidence that VIL told him to go live on Capri</w:t>
      </w:r>
    </w:p>
  </w:comment>
  <w:comment w:id="1" w:author="Clowes, Edith W (eec3c)" w:date="2024-08-04T13:52:31Z" w:initials="C(">
    <w:p>
      <w:pPr>
        <w:overflowPunct w:val="fals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Liberation Serif">
    <w:altName w:val="Times New Roman"/>
    <w:charset w:val="01"/>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Maksim Gorʹki</w:t>
      </w:r>
      <w:r>
        <w:rPr>
          <w:rFonts w:ascii="Liberation Serif" w:hAnsi="Liberation Serif"/>
        </w:rPr>
        <w:t>i</w:t>
      </w:r>
      <w:r>
        <w:rPr>
          <w:rFonts w:ascii="Liberation Serif" w:hAnsi="Liberation Serif"/>
        </w:rPr>
        <w:t>, Nesvoevremenn</w:t>
      </w:r>
      <w:r>
        <w:rPr>
          <w:rFonts w:ascii="Liberation Serif" w:hAnsi="Liberation Serif"/>
        </w:rPr>
        <w:t>ye</w:t>
      </w:r>
      <w:r>
        <w:rPr>
          <w:rFonts w:ascii="Liberation Serif" w:hAnsi="Liberation Serif"/>
        </w:rPr>
        <w:t xml:space="preserve"> </w:t>
      </w:r>
      <w:r>
        <w:rPr>
          <w:rFonts w:ascii="Liberation Serif" w:hAnsi="Liberation Serif"/>
        </w:rPr>
        <w:t>m</w:t>
      </w:r>
      <w:r>
        <w:rPr>
          <w:rFonts w:ascii="Liberation Serif" w:hAnsi="Liberation Serif"/>
        </w:rPr>
        <w:t xml:space="preserve">ysli: Zametki o </w:t>
      </w:r>
      <w:r>
        <w:rPr>
          <w:rFonts w:ascii="Liberation Serif" w:hAnsi="Liberation Serif"/>
        </w:rPr>
        <w:t>r</w:t>
      </w:r>
      <w:r>
        <w:rPr>
          <w:rFonts w:ascii="Liberation Serif" w:hAnsi="Liberation Serif"/>
        </w:rPr>
        <w:t>evo</w:t>
      </w:r>
      <w:r>
        <w:rPr>
          <w:rFonts w:ascii="Liberation Serif" w:hAnsi="Liberation Serif"/>
        </w:rPr>
        <w:t>liutsii</w:t>
      </w:r>
      <w:r>
        <w:rPr>
          <w:rFonts w:ascii="Liberation Serif" w:hAnsi="Liberation Serif"/>
        </w:rPr>
        <w:t xml:space="preserve"> i </w:t>
      </w:r>
      <w:r>
        <w:rPr>
          <w:rFonts w:ascii="Liberation Serif" w:hAnsi="Liberation Serif"/>
        </w:rPr>
        <w:t>k</w:t>
      </w:r>
      <w:r>
        <w:rPr>
          <w:rFonts w:ascii="Liberation Serif" w:hAnsi="Liberation Serif"/>
        </w:rPr>
        <w:t>ul’ture, ed. Iosif Irmovič Vajnberg (Sovetski</w:t>
      </w:r>
      <w:r>
        <w:rPr>
          <w:rFonts w:ascii="Liberation Serif" w:hAnsi="Liberation Serif"/>
        </w:rPr>
        <w:t>i</w:t>
      </w:r>
      <w:r>
        <w:rPr>
          <w:rFonts w:ascii="Liberation Serif" w:hAnsi="Liberation Serif"/>
        </w:rPr>
        <w:t xml:space="preserve"> pisatel’, 1990), </w:t>
      </w:r>
      <w:r>
        <w:rPr>
          <w:rFonts w:ascii="Liberation Serif" w:hAnsi="Liberation Serif"/>
        </w:rPr>
        <w:t>76.</w:t>
      </w:r>
      <w:r>
        <w:rPr>
          <w:rFonts w:ascii="Liberation Serif" w:hAnsi="Liberation Serif"/>
        </w:rPr>
        <w:t xml:space="preserve">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xml:space="preserve">, 4th ed., vol. 3 (Berlin: Slovo, 1923), </w:t>
      </w:r>
      <w:r>
        <w:rPr>
          <w:rFonts w:ascii="Liberation Serif" w:hAnsi="Liberation Serif"/>
        </w:rPr>
        <w:t xml:space="preserve">233. </w:t>
      </w:r>
      <w:r>
        <w:rPr>
          <w:rFonts w:ascii="Liberation Serif" w:hAnsi="Liberation Serif"/>
        </w:rPr>
        <w:t>“Подарок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bidi w:val="0"/>
        <w:rPr/>
      </w:pPr>
      <w:r>
        <w:rPr>
          <w:rStyle w:val="FootnoteCharacters"/>
        </w:rPr>
        <w:footnoteRef/>
      </w:r>
      <w:r>
        <w:rPr/>
        <w:t xml:space="preserve"> </w:t>
      </w:r>
      <w:r>
        <w:rPr/>
        <w:t>Archive ID 41</w:t>
      </w:r>
    </w:p>
  </w:footnote>
  <w:footnote w:id="5">
    <w:p>
      <w:pPr>
        <w:pStyle w:val="FootnoteText"/>
        <w:bidi w:val="0"/>
        <w:rPr/>
      </w:pPr>
      <w:r>
        <w:rPr>
          <w:rStyle w:val="FootnoteCharacters"/>
        </w:rPr>
        <w:footnoteRef/>
      </w:r>
      <w:r>
        <w:rPr/>
        <w:t xml:space="preserve"> </w:t>
      </w:r>
      <w:r>
        <w:rPr/>
        <w:t>Archive ID 161</w:t>
      </w:r>
    </w:p>
  </w:footnote>
  <w:footnote w:id="6">
    <w:p>
      <w:pPr>
        <w:pStyle w:val="FootnoteText"/>
        <w:bidi w:val="0"/>
        <w:rPr/>
      </w:pPr>
      <w:r>
        <w:rPr>
          <w:rStyle w:val="FootnoteCharacters"/>
        </w:rPr>
        <w:footnoteRef/>
      </w:r>
      <w:r>
        <w:rPr/>
        <w:t xml:space="preserve"> </w:t>
      </w:r>
      <w:r>
        <w:rPr/>
        <w:t>Luke, in chapter 10 of his gospel, quotes this very line between telling the Narrative of the Seventy Apostles and the Parable of the Good Samaritan. (10:19)</w:t>
      </w:r>
    </w:p>
  </w:footnote>
  <w:footnote w:id="7">
    <w:p>
      <w:pPr>
        <w:pStyle w:val="FootnoteText"/>
        <w:bidi w:val="0"/>
        <w:rPr/>
      </w:pPr>
      <w:r>
        <w:rPr>
          <w:rStyle w:val="FootnoteCharacters"/>
        </w:rPr>
        <w:footnoteRef/>
      </w:r>
      <w:r>
        <w:rPr/>
        <w:t xml:space="preserve"> </w:t>
      </w:r>
      <w:r>
        <w:rPr/>
        <w:t>Surguchev, p.147</w:t>
      </w:r>
    </w:p>
  </w:footnote>
  <w:footnote w:id="8">
    <w:p>
      <w:pPr>
        <w:pStyle w:val="FootnoteText"/>
        <w:rPr/>
      </w:pPr>
      <w:r>
        <w:rPr>
          <w:rStyle w:val="FootnoteCharacters"/>
        </w:rPr>
        <w:footnoteRef/>
      </w:r>
      <w:r>
        <w:rPr/>
        <w:t xml:space="preserve"> </w:t>
      </w:r>
      <w:r>
        <w:rPr/>
        <w:t>p. 77</w:t>
      </w:r>
    </w:p>
  </w:footnote>
</w:footnotes>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DejaVu Sans"/>
      <w:color w:val="auto"/>
      <w:kern w:val="0"/>
      <w:sz w:val="22"/>
      <w:szCs w:val="22"/>
      <w:lang w:val="en-US" w:eastAsia="en-US" w:bidi="ar-SA"/>
    </w:rPr>
  </w:style>
  <w:style w:type="character" w:styleId="DefaultParagraphFont">
    <w:name w:val="Default Paragraph Font"/>
    <w:qForma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user">
    <w:name w:val="Endnote Characters (user)"/>
    <w:qForma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9387</TotalTime>
  <Application>LibreOffice/25.2.1.2$Linux_X86_64 LibreOffice_project/520$Build-2</Application>
  <AppVersion>15.0000</AppVersion>
  <Pages>7</Pages>
  <Words>2311</Words>
  <Characters>12385</Characters>
  <CharactersWithSpaces>14688</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2025-03-15T18:01:06Z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