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footnotes.xml" ContentType="application/vnd.openxmlformats-officedocument.wordprocessingml.footnote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Liberation Serif" w:hAnsi="Liberation Serif"/>
        </w:rPr>
      </w:pPr>
      <w:r>
        <w:rPr>
          <w:rFonts w:ascii="Liberation Serif" w:hAnsi="Liberation Serif"/>
        </w:rPr>
        <w:t>Chapter 5</w:t>
        <w:br/>
        <w:t>The Devil is in the Details:</w:t>
        <w:br/>
        <w:t xml:space="preserve">Digital </w:t>
      </w:r>
      <w:r>
        <w:rPr>
          <w:rFonts w:ascii="Liberation Serif" w:hAnsi="Liberation Serif"/>
        </w:rPr>
        <w:t xml:space="preserve">Analysis of </w:t>
      </w:r>
      <w:r>
        <w:rPr>
          <w:rFonts w:ascii="Liberation Serif" w:hAnsi="Liberation Serif"/>
        </w:rPr>
        <w:t xml:space="preserve">Gor’kii </w:t>
      </w:r>
      <w:r>
        <w:rPr>
          <w:rFonts w:ascii="Liberation Serif" w:hAnsi="Liberation Serif"/>
        </w:rPr>
        <w:t>and</w:t>
      </w:r>
      <w:r>
        <w:rPr>
          <w:rFonts w:ascii="Liberation Serif" w:hAnsi="Liberation Serif"/>
        </w:rPr>
        <w:t xml:space="preserve"> the Christian Tradition</w:t>
      </w:r>
      <w:r>
        <w:rPr>
          <w:rStyle w:val="FootnoteReference"/>
          <w:rFonts w:ascii="Liberation Serif" w:hAnsi="Liberation Serif"/>
        </w:rPr>
        <w:footnoteReference w:id="2"/>
      </w:r>
    </w:p>
    <w:p>
      <w:pPr>
        <w:pStyle w:val="Normal"/>
        <w:spacing w:lineRule="auto" w:line="276"/>
        <w:jc w:val="right"/>
        <w:rPr>
          <w:rFonts w:ascii="Liberation Serif" w:hAnsi="Liberation Serif"/>
        </w:rPr>
      </w:pPr>
      <w:r>
        <w:rPr>
          <w:rFonts w:ascii="Liberation Serif" w:hAnsi="Liberation Serif"/>
        </w:rPr>
        <w:t>In distant antiquity when humans began to reason, they reasoned technologically, which is to say exclusively relying on and only on one’s own labor experience. Technology is the logic of facts created by people’s labor, and ideology is the logic of ideas, which is to say the logic of thoughts extracted from facts, from thoughts that dictate the paths, devices, and forms of the creation of new facts.</w:t>
        <w:br/>
        <w:t>Maksim Gor’kii, “On Formalism” (1936)</w:t>
      </w:r>
      <w:r>
        <w:rPr>
          <w:rStyle w:val="FootnoteReference"/>
          <w:rFonts w:ascii="Liberation Serif" w:hAnsi="Liberation Serif"/>
        </w:rPr>
        <w:footnoteReference w:id="3"/>
      </w:r>
    </w:p>
    <w:p>
      <w:pPr>
        <w:pStyle w:val="Normal"/>
        <w:spacing w:lineRule="auto" w:line="480"/>
        <w:jc w:val="left"/>
        <w:rPr>
          <w:rFonts w:ascii="Liberation Serif" w:hAnsi="Liberation Serif"/>
        </w:rPr>
      </w:pPr>
      <w:r>
        <w:rPr>
          <w:rFonts w:ascii="Liberation Serif" w:hAnsi="Liberation Serif"/>
        </w:rPr>
        <w:t>Introduction</w:t>
      </w:r>
    </w:p>
    <w:p>
      <w:pPr>
        <w:pStyle w:val="Normal"/>
        <w:spacing w:lineRule="auto" w:line="480"/>
        <w:ind w:hanging="0"/>
        <w:jc w:val="left"/>
        <w:rPr>
          <w:rFonts w:ascii="Liberation Serif" w:hAnsi="Liberation Serif"/>
        </w:rPr>
      </w:pPr>
      <w:r>
        <w:rPr>
          <w:rFonts w:ascii="Liberation Serif" w:hAnsi="Liberation Serif"/>
        </w:rPr>
        <w:t>Despite Orthodox Christian culture’s obvious, profound impact on Gor’kii’s worldview and creative imagination, the author categorically denied any such religious influence. Having demonstrated some of the qualitative evidence of this phenomenon, I believe there is quantitative proof to corroborate and expand past conclusions. This chapter discusses “forensic” Digital Humanities (DH) to foreground an empirical search for the truth of Gor’kii’s well-known secret. The following describes how computational thinking and DH methods can strengthen the evidentiary basis for asserting the substantial role of religious literature in Gor’kii’s work. Using Natural Language Processing (NLP) tools in Python, I establish a definitive connection between some of Gor’kii’s major pre-revolutionary texts and the Christian literary tradition, especially the Russian Synodal Bible [</w:t>
      </w:r>
      <w:r>
        <w:rPr>
          <w:rFonts w:ascii="Liberation Serif" w:hAnsi="Liberation Serif"/>
          <w:i/>
          <w:iCs/>
        </w:rPr>
        <w:t>Synodal’nyi perevod Biblii</w:t>
      </w:r>
      <w:r>
        <w:rPr>
          <w:rFonts w:ascii="Liberation Serif" w:hAnsi="Liberation Serif"/>
        </w:rPr>
        <w:t xml:space="preserve">] (1885). These digital instruments allow me to show like never before the myriad parallels between his works, which the Soviets would weaponize against religion, and Orthodoxy in nearly all but name. </w:t>
      </w:r>
    </w:p>
    <w:p>
      <w:pPr>
        <w:pStyle w:val="Normal"/>
        <w:spacing w:lineRule="auto" w:line="480"/>
        <w:ind w:firstLine="720"/>
        <w:jc w:val="left"/>
        <w:rPr>
          <w:rFonts w:ascii="Liberation Serif" w:hAnsi="Liberation Serif"/>
        </w:rPr>
      </w:pPr>
      <w:commentRangeStart w:id="0"/>
      <w:r>
        <w:rPr>
          <w:rFonts w:ascii="Liberation Serif" w:hAnsi="Liberation Serif"/>
        </w:rPr>
        <w:t>A machine-readable Biblical and literary corpus constitutes the primary product of the technical labor described. From plain-text files I created a fully indexed, searchable database of digital texts. Each text has its own features, but more importantly, the database presents cross-text (shared) linguistic and semantic data. I extracted this data using a proprietary program created in the programming language Python and organized it in a mySQL relative database. On the front end, I created a user interface for querying the database using a vanilla</w:t>
      </w:r>
      <w:r>
        <w:rPr>
          <w:rFonts w:eastAsia="Liberation Serif" w:cs="Liberation Serif" w:ascii="Liberation Serif" w:hAnsi="Liberation Serif"/>
        </w:rPr>
        <w:t>—</w:t>
      </w:r>
      <w:r>
        <w:rPr>
          <w:rFonts w:ascii="Liberation Serif" w:hAnsi="Liberation Serif"/>
        </w:rPr>
        <w:t>i.e. from scratch</w:t>
      </w:r>
      <w:r>
        <w:rPr>
          <w:rFonts w:eastAsia="Liberation Serif" w:cs="Liberation Serif" w:ascii="Liberation Serif" w:hAnsi="Liberation Serif"/>
        </w:rPr>
        <w:t>—</w:t>
      </w:r>
      <w:r>
        <w:rPr>
          <w:rFonts w:ascii="Liberation Serif" w:hAnsi="Liberation Serif"/>
        </w:rPr>
        <w:t>combination of PHP, HTML, CSS, and JavaScript. The UI displays custom XML documents of the texts that are annotated or “marked-up” to allow for users’ interaction with the intertextual elements, Gor’kii’s secular transpositions, discussed elsewhere in the project. Visualized links show side-by</w:t>
      </w:r>
      <w:r>
        <w:rPr/>
        <w:commentReference w:id="1"/>
      </w:r>
      <w:r>
        <w:rPr/>
      </w:r>
      <w:commentRangeEnd w:id="0"/>
      <w:r>
        <w:commentReference w:id="0"/>
      </w:r>
      <w:r>
        <w:rPr>
          <w:rFonts w:ascii="Liberation Serif" w:hAnsi="Liberation Serif"/>
        </w:rPr>
        <w:t>-side how Gor’kii took from the Bible to create his own “revolutionary gospel.” These are my methods and preliminary findings.</w:t>
      </w:r>
    </w:p>
    <w:p>
      <w:pPr>
        <w:pStyle w:val="Normal"/>
        <w:spacing w:lineRule="auto" w:line="480"/>
        <w:jc w:val="left"/>
        <w:rPr>
          <w:i/>
          <w:i/>
          <w:iCs/>
        </w:rPr>
      </w:pPr>
      <w:r>
        <w:rPr>
          <w:rFonts w:ascii="Liberation Serif" w:hAnsi="Liberation Serif"/>
          <w:i/>
          <w:iCs/>
        </w:rPr>
        <w:t>Background</w:t>
      </w:r>
    </w:p>
    <w:p>
      <w:pPr>
        <w:pStyle w:val="Normal"/>
        <w:suppressLineNumbers w:val="0"/>
        <w:spacing w:lineRule="auto" w:line="480" w:before="0" w:after="160"/>
        <w:ind w:left="0" w:right="0"/>
        <w:jc w:val="left"/>
        <w:rPr>
          <w:rFonts w:ascii="Liberation Serif" w:hAnsi="Liberation Serif"/>
        </w:rPr>
      </w:pPr>
      <w:r>
        <w:rPr>
          <w:rFonts w:ascii="Liberation Serif" w:hAnsi="Liberation Serif"/>
        </w:rPr>
        <w:t xml:space="preserve">Textual DH has a rich history and is currently taking exciting leaps thanks to recent technological advances. Cardstock punch cards and manual term counting of the past have evolved with general technological advancement alongside theories that push DH beyond simply numbering the vocabulary of a corpus, which is any collection of texts. Milestone works such as </w:t>
      </w:r>
      <w:r>
        <w:rPr>
          <w:rFonts w:ascii="Liberation Serif" w:hAnsi="Liberation Serif"/>
          <w:i/>
          <w:iCs/>
        </w:rPr>
        <w:t>An Introduction to Information Retrieval</w:t>
      </w:r>
      <w:r>
        <w:rPr>
          <w:rFonts w:ascii="Liberation Serif" w:hAnsi="Liberation Serif"/>
        </w:rPr>
        <w:t xml:space="preserve"> by Chistopher Manning et al. (2009), </w:t>
      </w:r>
      <w:r>
        <w:rPr>
          <w:rFonts w:ascii="Liberation Serif" w:hAnsi="Liberation Serif"/>
          <w:i/>
          <w:iCs/>
        </w:rPr>
        <w:t>Mining Text Data</w:t>
      </w:r>
      <w:r>
        <w:rPr>
          <w:rFonts w:ascii="Liberation Serif" w:hAnsi="Liberation Serif"/>
        </w:rPr>
        <w:t xml:space="preserve"> by Charu Aggarwal and Chengxiang Zhai (2012), and </w:t>
      </w:r>
      <w:r>
        <w:rPr>
          <w:rFonts w:ascii="Liberation Serif" w:hAnsi="Liberation Serif"/>
          <w:i/>
          <w:iCs/>
        </w:rPr>
        <w:t>Speech and Language Processing</w:t>
      </w:r>
      <w:r>
        <w:rPr>
          <w:rFonts w:ascii="Liberation Serif" w:hAnsi="Liberation Serif"/>
        </w:rPr>
        <w:t xml:space="preserve"> by Daniel Jurafsky and Jacob Martin (2018) continue to serve as invaluable primers for computational approaches to texts and their meanings. Many instructional texts in the Russian NLP sphere are translated from English. A welcome Russian source is </w:t>
      </w:r>
      <w:r>
        <w:rPr>
          <w:rFonts w:ascii="Liberation Serif" w:hAnsi="Liberation Serif"/>
          <w:i/>
          <w:iCs/>
        </w:rPr>
        <w:t>Automatic Processing of Natural-Language Text and Data Analysis</w:t>
      </w:r>
      <w:r>
        <w:rPr>
          <w:rFonts w:ascii="Liberation Serif" w:hAnsi="Liberation Serif"/>
        </w:rPr>
        <w:t xml:space="preserve"> [</w:t>
      </w:r>
      <w:r>
        <w:rPr>
          <w:rFonts w:ascii="Liberation Serif" w:hAnsi="Liberation Serif"/>
          <w:i/>
          <w:iCs/>
        </w:rPr>
        <w:t>Avtomatichestkaia obrabotka tekstov na estestvennom iazyke i analiz dannykh</w:t>
      </w:r>
      <w:r>
        <w:rPr>
          <w:rFonts w:ascii="Liberation Serif" w:hAnsi="Liberation Serif"/>
          <w:i w:val="false"/>
          <w:iCs w:val="false"/>
        </w:rPr>
        <w:t>]</w:t>
      </w:r>
      <w:r>
        <w:rPr>
          <w:rFonts w:ascii="Liberation Serif" w:hAnsi="Liberation Serif"/>
        </w:rPr>
        <w:t xml:space="preserve"> (2017) by E. I. Bol’shakova et al. which provides a similar introduction to computer-aided approaches for Russian-language NLP.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Although Russian-language NLP is developing more slowly other major world languages, some existing tools have proven useful. As a result of NLP’s demand for expensive computational resources, work is often concentrated in Western countries where such demands can be met, and the English language is dominant. Thus, while the statistical principles underlying NLP methods are language independent, the quantity of pre-packaged NLP tools drops off precipitously as one leaves the languages of North America and Western Europe. Russian NLP is pushed forward largely by researchers at Yandex, who want to keep up with advancements made at their American counterpart, Meta (Facebook), and individual researchers.</w:t>
      </w:r>
      <w:r>
        <w:rPr>
          <w:rStyle w:val="FootnoteReference"/>
          <w:rFonts w:ascii="Liberation Serif" w:hAnsi="Liberation Serif"/>
        </w:rPr>
        <w:footnoteReference w:id="4"/>
      </w:r>
      <w:r>
        <w:rPr>
          <w:rFonts w:ascii="Liberation Serif" w:hAnsi="Liberation Serif"/>
        </w:rPr>
        <w:t xml:space="preserve"> Two such independently developed projects are DeepPavlov and Natasha.</w:t>
      </w:r>
      <w:r>
        <w:rPr>
          <w:rStyle w:val="FootnoteReference"/>
          <w:rFonts w:ascii="Liberation Serif" w:hAnsi="Liberation Serif"/>
        </w:rPr>
        <w:footnoteReference w:id="5"/>
      </w:r>
      <w:r>
        <w:rPr>
          <w:rFonts w:ascii="Liberation Serif" w:hAnsi="Liberation Serif"/>
        </w:rPr>
        <w:t xml:space="preserve"> DeepPavlov and Natasha both provide the basic tools for researchers to extract data from Russian-language texts. These programs are designed to give Russian speakers fine control over information gathering from texts.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morphological and grammatical complexity of the Russian language has been a factor in its slow development, but it also presents exciting challenges to tackle. A highly inflected morphology and flexible syntax produce numerous semantic layers across a sentence or even single word. That is to say that between English and Russian utterances conveying the same idea for all intents and purposes, the Russian sentence will contain more information about the idea—and contain less “noise,” or meaningless information—than the English. Grammatical rules dictate how to identify a word’s part of speech and then dissect its attributes. Understanding this system offers a bevy of potential connections between texts and their parts in addition to the words’ practical literary meaning. Although both DeepPavlov and Natasha allow researchers to access these linguistic features, Natasha’s more economic approach to near identical results was sufficient reason to choose it as one of my foundational tools. With this information, I could probe my corpus, the group of texts with which I am working, with questions that Gor’kii would not answer.</w:t>
      </w:r>
    </w:p>
    <w:p>
      <w:pPr>
        <w:pStyle w:val="Normal"/>
        <w:suppressLineNumbers w:val="0"/>
        <w:bidi w:val="0"/>
        <w:spacing w:lineRule="auto" w:line="480" w:before="0" w:after="160"/>
        <w:ind w:hanging="0" w:left="0" w:right="0"/>
        <w:jc w:val="left"/>
        <w:rPr>
          <w:i/>
          <w:i/>
          <w:iCs/>
        </w:rPr>
      </w:pPr>
      <w:r>
        <w:rPr>
          <w:rFonts w:ascii="Liberation Serif" w:hAnsi="Liberation Serif"/>
          <w:i/>
          <w:iCs/>
        </w:rPr>
        <w:t>Methods</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 xml:space="preserve">In search of common language use between literary works and the Bible, I employ a “sliding token-window” comparison technique at a granular level. A “token” is a particular instance of a word within a text. While a word potentially can be found in multiple places across a text, a token is by definition unique based on its location. A token window is a contiguous grouping of tokens. Each text is a series of tokens that can be viewed through a sliding, or moving, window of </w:t>
      </w:r>
      <w:r>
        <w:rPr>
          <w:rFonts w:ascii="Liberation Serif" w:hAnsi="Liberation Serif"/>
          <w:i/>
          <w:iCs/>
        </w:rPr>
        <w:t>n</w:t>
      </w:r>
      <w:r>
        <w:rPr>
          <w:rFonts w:ascii="Liberation Serif" w:hAnsi="Liberation Serif"/>
        </w:rPr>
        <w:t xml:space="preserve"> tokens at a time. For example, a three-token window (i.e., three consecutive words) could be comprised of the first through third, second through fourth, third through fifth tokens, and so on. Any number of consecutive tokens can be arbitrary grouped to define a “string.” The number of possible groups of </w:t>
      </w:r>
      <w:r>
        <w:rPr>
          <w:rFonts w:ascii="Liberation Serif" w:hAnsi="Liberation Serif"/>
          <w:i/>
          <w:iCs/>
        </w:rPr>
        <w:t xml:space="preserve">n </w:t>
      </w:r>
      <w:r>
        <w:rPr>
          <w:rFonts w:ascii="Liberation Serif" w:hAnsi="Liberation Serif"/>
          <w:i w:val="false"/>
          <w:iCs w:val="false"/>
        </w:rPr>
        <w:t xml:space="preserve">words in a set of </w:t>
      </w:r>
      <w:r>
        <w:rPr>
          <w:rFonts w:ascii="Liberation Serif" w:hAnsi="Liberation Serif"/>
          <w:i/>
          <w:iCs/>
        </w:rPr>
        <w:t>s</w:t>
      </w:r>
      <w:r>
        <w:rPr>
          <w:rFonts w:ascii="Liberation Serif" w:hAnsi="Liberation Serif"/>
          <w:i w:val="false"/>
          <w:iCs w:val="false"/>
        </w:rPr>
        <w:t xml:space="preserve"> is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ascii="Liberation Serif" w:hAnsi="Liberation Serif"/>
          <w:i w:val="false"/>
          <w:iCs w:val="false"/>
        </w:rPr>
        <w:t>. A</w:t>
      </w:r>
      <w:r>
        <w:rPr>
          <w:rFonts w:ascii="Liberation Serif" w:hAnsi="Liberation Serif"/>
        </w:rPr>
        <w:t xml:space="preserve"> ten-token string can be sliced into eight possible three-token windows. When measuring the similarity of substrings between two or more extended strings, which is how we may abstractly characterize transpositions on a multi-token level, the sliding token window allows for a high degree of accuracy in locating and quantifying borrowed language. For this reason, I devised a computational mechanism to compare the literary works and Synodal Bible by dividing each text into “</w:t>
      </w:r>
      <w:r>
        <w:rPr>
          <w:rFonts w:ascii="Liberation Serif" w:hAnsi="Liberation Serif"/>
          <w:i/>
          <w:iCs/>
        </w:rPr>
        <w:t>n</w:t>
      </w:r>
      <w:r>
        <w:rPr>
          <w:rFonts w:ascii="Liberation Serif" w:hAnsi="Liberation Serif"/>
        </w:rPr>
        <w:t xml:space="preserve">-token” windows (i.e., word strings of a given “n” length) and counting the coincidence of tokens between each window of the literary work with each window of the Bible.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 xml:space="preserve">The token-window method is facilitated by first determining the “lemma” of each token, which is the true object of comparison. The lemma is the standardized form of a token without additional morphemes. For example, the English words “[she] plays,” “[he is] playing,” and “[they] played” are all the verb “play.” Thus, comparing only lemmas allows for the control of context-dependent information that represents noise for the purpose of counting shared tokens. This is particularly important in Russian because of the high variance found in inflected forms of nouns and adjectives as well as conjugated verbs. Whereas English has a handful of verbal inflections and even fewer of those of nouns and adjectives, Russian features at least six verbal and twelve nominal and adjectival inflection forms each. The lemma reduces the dozens of forms to a single word and thus greatly simplifies the comparison process. Considering the lemma of a word is preferable to its stem, which is the minimal part of a word conveying solely its semantic significance, because the lemma preserves the syntagmatic and pragmatic qualities of a token. In other words, stemming would conflate the verb "starts," the adjective "starting," and the nouns “start” and “starter.” Lemmatization, the process of determining token’s lemma, is a standard and important function of NLP software packages like Natasha. They accomplish this goal much like a human would: examining the token, considering its part of speech and other features, making appropriate morphological modifications, and comparing the result to a list of known lemmas of the language. Natasha is admittedly </w:t>
      </w:r>
      <w:r>
        <w:rPr>
          <w:rFonts w:ascii="Liberation Serif" w:hAnsi="Liberation Serif"/>
        </w:rPr>
        <w:t>less</w:t>
      </w:r>
      <w:r>
        <w:rPr>
          <w:rFonts w:ascii="Liberation Serif" w:hAnsi="Liberation Serif"/>
        </w:rPr>
        <w:t xml:space="preserve"> capable of handling edge cases and exceptions compared to a scholar. However, though a person may be able to eventually produce a lemma list with 100% accuracy, Natasha can create a list of all the lemmas of the Bible’s tokens in under five minutes with greater than 99% accuracy. At the scale of data under examination, that &lt;1% error rate is an acceptable loss to accomplish what would take a person thousands of hours of labor to accomplish.</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help Natasha and other technological tools provide is invaluable because of the sheer number of tokens involved in the task at hand, which also left me with a question of exactly what tokens my code should consider when comparing texts. However, not all tokens are equally meaningful. After considering other transpositions, I created a filter to remove a portion of the tokens from each text in order to more efficiently locate the overlapping tokens that are rich in content and lack noise to the extent possible. To that end, I leveraged Natasha’s part-of-speech (POS) tagger and distilled the token lists based on their label. The tokens permitted to pass through the filter for comparison were those tagged as nouns, including proper nouns, adjectives, and verbs. These tokens in theory represent the most meaningful and least noisy of POS, as opposed to those excluded: adverbs, exclamations, numbers, conjunctions, determiners, and others.</w:t>
      </w:r>
      <w:r>
        <w:rPr>
          <w:rStyle w:val="FootnoteReference"/>
          <w:rFonts w:ascii="Liberation Serif" w:hAnsi="Liberation Serif"/>
        </w:rPr>
        <w:footnoteReference w:id="6"/>
      </w:r>
      <w:r>
        <w:rPr>
          <w:rFonts w:ascii="Liberation Serif" w:hAnsi="Liberation Serif"/>
        </w:rPr>
        <w:t xml:space="preserve"> From the total Bible token count, approximately 51.11% </w:t>
      </w:r>
      <w:r>
        <w:rPr>
          <w:rFonts w:ascii="Liberation Serif" w:hAnsi="Liberation Serif"/>
        </w:rPr>
        <w:t>(</w:t>
      </w:r>
      <w:r>
        <w:rPr>
          <w:rFonts w:ascii="Liberation Serif" w:hAnsi="Liberation Serif"/>
        </w:rPr>
        <w:t xml:space="preserve">345,090 </w:t>
      </w:r>
      <w:r>
        <w:rPr>
          <w:rFonts w:ascii="Liberation Serif" w:hAnsi="Liberation Serif"/>
        </w:rPr>
        <w:t xml:space="preserve">of 675,068) </w:t>
      </w:r>
      <w:r>
        <w:rPr>
          <w:rFonts w:ascii="Liberation Serif" w:hAnsi="Liberation Serif"/>
        </w:rPr>
        <w:t xml:space="preserve">tokens, to be exact were preserved. A slightly greater proportion of 54.46% </w:t>
      </w:r>
      <w:r>
        <w:rPr>
          <w:rFonts w:ascii="Liberation Serif" w:hAnsi="Liberation Serif"/>
        </w:rPr>
        <w:t>(</w:t>
      </w:r>
      <w:r>
        <w:rPr>
          <w:rFonts w:ascii="Liberation Serif" w:hAnsi="Liberation Serif"/>
        </w:rPr>
        <w:t xml:space="preserve">46,836 </w:t>
      </w:r>
      <w:r>
        <w:rPr>
          <w:rFonts w:ascii="Liberation Serif" w:hAnsi="Liberation Serif"/>
        </w:rPr>
        <w:t>of 86,009)</w:t>
      </w:r>
      <w:r>
        <w:rPr>
          <w:rFonts w:ascii="Liberation Serif" w:hAnsi="Liberation Serif"/>
        </w:rPr>
        <w:t xml:space="preserve"> of Mother’s tokens passed through the filter. Whittling down these token sets has provided me with a more focused token set from each text in hopes of isolating windows demonstrating Gor’kii’s use of Biblical language. At the same time, the numbers are nothing to balk at; with several billion comparisons to make, the possibilities are nearly limitless.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 xml:space="preserve">Getting to the actual counting of windows’ overlapping tokens, it is important to explain what numbers are available. Each text is divided into n-token windows, which are then each compared against each other. A ten-token window methodology renders 373,398 windows from 345,090 total tokens from the Bible and 54,729 windows from 46,836 tokens from </w:t>
      </w:r>
      <w:r>
        <w:rPr>
          <w:rFonts w:ascii="Liberation Serif" w:hAnsi="Liberation Serif"/>
          <w:i/>
          <w:iCs/>
        </w:rPr>
        <w:t>Mother</w:t>
      </w:r>
      <w:r>
        <w:rPr>
          <w:rFonts w:ascii="Liberation Serif" w:hAnsi="Liberation Serif"/>
        </w:rPr>
        <w:t>. This example provides for 20.435 billion possible comparisons. Each window is assigned an identification number, and upon comparison with another window, a key-value pair is generated, in which the unique window-window identification is the key, and the similarity is the value. The key-value pair is a convention of Python dictionaries, which dictates that an unordered list of data can contain a unique set of keys, each of which corresponds to a value that is not necessarily unique. An additional consideration is the comparison of Bible words in their established sequence. The differences between the methods’ results are drastic. On the token-window level, the question about how to measure similarity is straightforward. The sequence-dependent method counts matches if the position of a given token in Gor’kii’s works matches the same position in the window from the Bible.</w:t>
      </w:r>
    </w:p>
    <w:p>
      <w:pPr>
        <w:pStyle w:val="Normal"/>
        <w:suppressLineNumbers w:val="0"/>
        <w:bidi w:val="0"/>
        <w:spacing w:lineRule="auto" w:line="480" w:before="0" w:after="160"/>
        <w:ind w:hanging="0" w:left="0" w:right="0"/>
        <w:jc w:val="left"/>
        <w:rPr>
          <w:rFonts w:ascii="Liberation Serif" w:hAnsi="Liberation Serif"/>
        </w:rPr>
      </w:pPr>
      <w:r>
        <w:rPr>
          <w:rFonts w:ascii="Liberation Serif" w:hAnsi="Liberation Serif"/>
        </w:rPr>
        <w:tab/>
        <w:t>Human intervention is nevertheless necessary to sift through the massive amount of data to find the true positive matches. The method, rudimentary as it is, functions as a binary probe of a lemma’s existence in one window compared to another, sequential or otherwise. This process, particularly when parsing windows of more than a dozen tokens, produces a large number of false positive as a result. Said effect was a major influence in keeping the token window as small as possible while preserving the integrity of the transposition to the greatest extent allowed. The algorithm can both confirm what was learned from close reading and potentially find its own new transpositions. Finding a particular window of tokens based on its place is simple, though the remaining transpositions potentially to be found must be evaluated by a real person for their meaningfulness. Knowledge of the contexts surrounding particular words is thus still a necessary human-in-the-loop intervention. A fuller description and specific data are available in the Results section below.</w:t>
      </w:r>
    </w:p>
    <w:p>
      <w:pPr>
        <w:pStyle w:val="Normal"/>
        <w:spacing w:lineRule="auto" w:line="480"/>
        <w:jc w:val="left"/>
        <w:rPr>
          <w:rFonts w:ascii="Liberation Serif" w:hAnsi="Liberation Serif"/>
        </w:rPr>
      </w:pPr>
      <w:r>
        <w:rPr>
          <w:rFonts w:ascii="Liberation Serif" w:hAnsi="Liberation Serif"/>
        </w:rPr>
        <w:tab/>
        <w:t>These results and an interactive textual exploration are at the center of the project’s “front-end” or user-facing interface, called here “Augmented Textuality” (AT). The web-based application offers users an interactive portal to the corpus via networked instances of biblical influence on Gor’kii’s works. These points of religious transposition have been determined through both close reading and the semi-automatic process described above. Each of these junctions is home to a unique set of data, which adds to our understanding of both the Orthodox Bible and literature. Using an array of digital tools, we can see the texts jump off the page, so to speak, with multiple layers of historical, artistic, and religious context. When viewing the transpositions through the Bible, we see how each referenced segment, whether verse, person, or narrative, has been borrowed to various ends in Russian literature. Viewing them through the literary works, on the other hand, brings into relief the author’s manipulation of the source and thus shines a light on the transposition’s artistry and message. The data set’s value quickly grows as I add additional the works of other Russian authors, which will help us identify hot zones of inspiration from the Bible across literary history.</w:t>
      </w:r>
    </w:p>
    <w:p>
      <w:pPr>
        <w:pStyle w:val="Normal"/>
        <w:spacing w:lineRule="auto" w:line="480"/>
        <w:jc w:val="left"/>
        <w:rPr>
          <w:rFonts w:ascii="Liberation Serif" w:hAnsi="Liberation Serif"/>
        </w:rPr>
      </w:pPr>
      <w:r>
        <w:rPr>
          <w:rFonts w:ascii="Liberation Serif" w:hAnsi="Liberation Serif"/>
        </w:rPr>
        <w:tab/>
        <w:t>The AT interface stands atop a simple technical construction of basic internet building blocks. At its foundation is a custom Linux-Apache-mySQL-PHP (LAMP) stack of technologies, while the form and dressings are produced with straightforward HTML/CSS/JS. The decision to create everything from the ground-up, while more time intensive, gives the project a better chance at remaining functional and thus useful as technology changes with time. Linux is an operating system that provides the server environment. Apache is a web server software, which works with other software to manage inputs and “serve” them to the user. The mySQL database is a repository for the transposition objects and their associated data. This input complements the texts themselves by providing analytical information about each instance. Finally, PHP is a programming language that excels at managing pages’ contents on the server, putting them together in the correct format to respond to users’ requests. In this way, a LAMP stack functions like a restaurant with its physical space (Linux) and a waitstaff (Apache), who run errands and information between the storage shelves (mySQL), the chefs (PHP), and the diners (users). The texts, including the Bible and Gorky’s works, are in XML format. Using this file type, I am able to deliver an annotated version with instructions for when and where the computer is to overlay relevant information provided by the database, like a classic comfort food made even better by an ingredient that we did not know we wanted. Functions like the informational window with transposition analysis were created in standard JavaScript without third-party frameworks.</w:t>
      </w:r>
    </w:p>
    <w:p>
      <w:pPr>
        <w:pStyle w:val="Normal"/>
        <w:spacing w:lineRule="auto" w:line="480"/>
        <w:jc w:val="left"/>
        <w:rPr>
          <w:rFonts w:ascii="Liberation Serif" w:hAnsi="Liberation Serif"/>
        </w:rPr>
      </w:pPr>
      <w:r>
        <w:rPr>
          <w:rFonts w:ascii="Liberation Serif" w:hAnsi="Liberation Serif"/>
        </w:rPr>
        <w:tab/>
        <w:t>What I have called</w:t>
      </w:r>
      <w:r>
        <w:rPr>
          <w:rFonts w:eastAsia="Liberation Serif" w:cs="Liberation Serif" w:ascii="Liberation Serif" w:hAnsi="Liberation Serif"/>
        </w:rPr>
        <w:t xml:space="preserve"> </w:t>
      </w:r>
      <w:r>
        <w:rPr>
          <w:rFonts w:ascii="Liberation Serif" w:hAnsi="Liberation Serif"/>
        </w:rPr>
        <w:t xml:space="preserve">the “transposition object” is a central concept that emerges out of the creation of Augmented Textuality. It forms at the intersection of the origin text and its derived transpositions. Like a gem with many facets, the object is composed of multiple interpretations that begin to play off of each other. For example, the sex worker in </w:t>
      </w:r>
      <w:r>
        <w:rPr>
          <w:rFonts w:ascii="Liberation Serif" w:hAnsi="Liberation Serif"/>
          <w:i/>
          <w:iCs/>
        </w:rPr>
        <w:t>Confession</w:t>
      </w:r>
      <w:r>
        <w:rPr>
          <w:rFonts w:ascii="Liberation Serif" w:hAnsi="Liberation Serif"/>
        </w:rPr>
        <w:t xml:space="preserve"> as a transposition shares an edge with the original referent(s) in the Bible while simultaneously sharing edges with preceding transpositions, namely Doestoevskii’s and Tolstoi’s penitent prostitutes. As such, we can characterize each transposition object by its name, type, textual inheritance, and historical-semiotic components, a unique combination of qualities within each transposition. These components are “element,” “continuity,” “function,” “religion,” and “politics.” “Element” refers to the nature of the borrowed Orthodox culture, such as a character, a narrative, or a symbol. “Continuity” refers to the extent the element underwent change at the hands of the transposing author. A complete vocabulary with definitions is available in the project schema (Appendix A). Collecting and recording a significant quantity of transposition objects will open avenues to asking questions about the Russian literary treatment of the Bible across centuries.</w:t>
      </w:r>
    </w:p>
    <w:p>
      <w:pPr>
        <w:pStyle w:val="Normal"/>
        <w:spacing w:lineRule="auto" w:line="480"/>
        <w:jc w:val="left"/>
        <w:rPr>
          <w:rFonts w:ascii="Liberation Serif" w:hAnsi="Liberation Serif"/>
        </w:rPr>
      </w:pPr>
      <w:r>
        <w:rPr>
          <w:rFonts w:ascii="Liberation Serif" w:hAnsi="Liberation Serif"/>
        </w:rPr>
        <w:t>Results</w:t>
      </w:r>
    </w:p>
    <w:p>
      <w:pPr>
        <w:pStyle w:val="Normal"/>
        <w:spacing w:lineRule="auto" w:line="480"/>
        <w:jc w:val="left"/>
        <w:rPr>
          <w:rFonts w:ascii="Liberation Serif" w:hAnsi="Liberation Serif"/>
        </w:rPr>
      </w:pPr>
      <w:r>
        <w:rPr>
          <w:rFonts w:ascii="Liberation Serif" w:hAnsi="Liberation Serif"/>
        </w:rPr>
        <w:t xml:space="preserve">Before discussing the more granular data, it may be useful to take a glimpse at the bigger picture of the overlap between Gor’kii’s works and the Orthodox Bible. There are exactly 675,068 tokens in the Russian Synodal Bible, the forms of 20,933 distinct lemmas (~3.1% of tokens </w:t>
      </w:r>
      <w:r>
        <w:rPr>
          <w:rFonts w:ascii="Liberation Serif" w:hAnsi="Liberation Serif"/>
        </w:rPr>
        <w:t>are unique</w:t>
      </w:r>
      <w:r>
        <w:rPr>
          <w:rFonts w:ascii="Liberation Serif" w:hAnsi="Liberation Serif"/>
        </w:rPr>
        <w:t xml:space="preserve">). In </w:t>
      </w:r>
      <w:r>
        <w:rPr>
          <w:rFonts w:ascii="Liberation Serif" w:hAnsi="Liberation Serif"/>
          <w:i/>
          <w:iCs/>
        </w:rPr>
        <w:t>Mother</w:t>
      </w:r>
      <w:r>
        <w:rPr>
          <w:rFonts w:ascii="Liberation Serif" w:hAnsi="Liberation Serif"/>
        </w:rPr>
        <w:t xml:space="preserve">, we find 86,009 tokens and 8,197 lemmas (~9.5%). </w:t>
      </w:r>
      <w:r>
        <w:rPr>
          <w:rFonts w:ascii="Liberation Serif" w:hAnsi="Liberation Serif"/>
          <w:i/>
          <w:iCs/>
        </w:rPr>
        <w:t>Confession</w:t>
      </w:r>
      <w:r>
        <w:rPr>
          <w:rFonts w:ascii="Liberation Serif" w:hAnsi="Liberation Serif"/>
        </w:rPr>
        <w:t xml:space="preserve"> contains 47,484 tokens consisting of 5,989 unique lemmas (~12.6%). The increased lexical diversity is a reflection of both a varied subject matter and a shorter, therefore less repetitive overall length. </w:t>
      </w:r>
      <w:r>
        <w:rPr>
          <w:rFonts w:ascii="Liberation Serif" w:hAnsi="Liberation Serif"/>
        </w:rPr>
        <w:t xml:space="preserve">Among those sublists, ~49% is shared between Mother and the Bible, while Confession and the Bible share ~54% of a common language. In addition to being shorter, Confession directly addresses religious matters, so it is an expected result. </w:t>
      </w:r>
    </w:p>
    <w:p>
      <w:pPr>
        <w:pStyle w:val="Normal"/>
        <w:spacing w:lineRule="auto" w:line="480"/>
        <w:jc w:val="left"/>
        <w:rPr>
          <w:rFonts w:ascii="Liberation Serif" w:hAnsi="Liberation Serif"/>
        </w:rPr>
      </w:pPr>
      <w:r>
        <w:rPr>
          <w:rFonts w:ascii="Liberation Serif" w:hAnsi="Liberation Serif"/>
        </w:rPr>
        <w:tab/>
        <w:t xml:space="preserve">In addition, </w:t>
      </w:r>
      <w:r>
        <w:rPr>
          <w:rFonts w:ascii="Liberation Serif" w:hAnsi="Liberation Serif"/>
        </w:rPr>
        <w:t xml:space="preserve">I juxtaposed the top twenty-five lemmas by quantity of the Bible and each novel. </w:t>
      </w:r>
      <w:r>
        <w:rPr>
          <w:rFonts w:ascii="Liberation Serif" w:hAnsi="Liberation Serif"/>
          <w:i/>
          <w:iCs/>
        </w:rPr>
        <w:t>Figure A</w:t>
      </w:r>
      <w:r>
        <w:rPr>
          <w:rFonts w:ascii="Liberation Serif" w:hAnsi="Liberation Serif"/>
        </w:rPr>
        <w:t xml:space="preserve"> shows the most common lemmas for Mother, the Bible, and Confession, respectfully. We can see evidence of at least a broad relationship between the texts where there is a high level of correlation between meaningful re-occuring lemmas. As an example, “mother” [</w:t>
      </w:r>
      <w:r>
        <w:rPr>
          <w:rFonts w:ascii="Liberation Serif" w:hAnsi="Liberation Serif"/>
          <w:i/>
          <w:iCs/>
        </w:rPr>
        <w:t>mat’</w:t>
      </w:r>
      <w:r>
        <w:rPr>
          <w:rFonts w:ascii="Liberation Serif" w:hAnsi="Liberation Serif"/>
        </w:rPr>
        <w:t xml:space="preserve">], as the novel’s top word is relatively unpopular in the Bible, but its twenty-second most common word, “son” </w:t>
      </w:r>
      <w:r>
        <w:rPr>
          <w:rFonts w:ascii="Liberation Serif" w:hAnsi="Liberation Serif"/>
        </w:rPr>
        <w:t>[</w:t>
      </w:r>
      <w:r>
        <w:rPr>
          <w:rFonts w:ascii="Liberation Serif" w:hAnsi="Liberation Serif"/>
          <w:i/>
          <w:iCs/>
        </w:rPr>
        <w:t>syn</w:t>
      </w:r>
      <w:r>
        <w:rPr>
          <w:rFonts w:ascii="Liberation Serif" w:hAnsi="Liberation Serif"/>
        </w:rPr>
        <w:t>]</w:t>
      </w:r>
      <w:r>
        <w:rPr>
          <w:rFonts w:ascii="Liberation Serif" w:hAnsi="Liberation Serif"/>
        </w:rPr>
        <w:t xml:space="preserve"> is near the top of the Bible’s list. Similarly, “</w:t>
      </w:r>
      <w:r>
        <w:rPr>
          <w:rFonts w:ascii="Liberation Serif" w:hAnsi="Liberation Serif"/>
        </w:rPr>
        <w:t>person” [</w:t>
      </w:r>
      <w:r>
        <w:rPr>
          <w:rFonts w:ascii="Liberation Serif" w:hAnsi="Liberation Serif"/>
          <w:i/>
          <w:iCs/>
        </w:rPr>
        <w:t>chelovek</w:t>
      </w:r>
      <w:r>
        <w:rPr>
          <w:rFonts w:ascii="Liberation Serif" w:hAnsi="Liberation Serif"/>
        </w:rPr>
        <w:t>], “God” [</w:t>
      </w:r>
      <w:r>
        <w:rPr>
          <w:rFonts w:ascii="Liberation Serif" w:hAnsi="Liberation Serif"/>
          <w:i/>
          <w:iCs/>
        </w:rPr>
        <w:t>bog</w:t>
      </w:r>
      <w:r>
        <w:rPr>
          <w:rFonts w:ascii="Liberation Serif" w:hAnsi="Liberation Serif"/>
        </w:rPr>
        <w:t>], and “land” [</w:t>
      </w:r>
      <w:r>
        <w:rPr>
          <w:rFonts w:ascii="Liberation Serif" w:hAnsi="Liberation Serif"/>
          <w:i/>
          <w:iCs/>
        </w:rPr>
        <w:t>zemlia</w:t>
      </w:r>
      <w:r>
        <w:rPr>
          <w:rFonts w:ascii="Liberation Serif" w:hAnsi="Liberation Serif"/>
        </w:rPr>
        <w:t xml:space="preserve">] are numbers two, four, and six for Confession’s top lemmas, which are featured in the Bible’s list as well. </w:t>
      </w:r>
      <w:r>
        <w:rPr>
          <w:rFonts w:ascii="Liberation Serif" w:hAnsi="Liberation Serif"/>
        </w:rPr>
        <w:t xml:space="preserve"> </w:t>
      </w:r>
      <w:r>
        <w:rPr>
          <w:rFonts w:ascii="Liberation Serif" w:hAnsi="Liberation Serif"/>
        </w:rPr>
        <w:t xml:space="preserve">However, a little down the rankings at number eighteen is </w:t>
      </w:r>
      <w:r>
        <w:rPr>
          <w:rFonts w:ascii="Liberation Serif" w:hAnsi="Liberation Serif"/>
          <w:i/>
          <w:iCs/>
        </w:rPr>
        <w:t>narod</w:t>
      </w:r>
      <w:r>
        <w:rPr>
          <w:rFonts w:ascii="Liberation Serif" w:hAnsi="Liberation Serif"/>
          <w:i w:val="false"/>
          <w:iCs w:val="false"/>
        </w:rPr>
        <w:t xml:space="preserve">, which rounds out that theme well. </w:t>
      </w:r>
      <w:r>
        <w:rPr>
          <w:rFonts w:ascii="Liberation Serif" w:hAnsi="Liberation Serif"/>
        </w:rPr>
        <w:t xml:space="preserve">Compared to the Bible, both novels over-represent “person,” (tenth) “hand,” (twelfth) “being,” (sixteenth) “word,” (eighteenth) and “heart” (twenty-fifth). At the same time, </w:t>
      </w:r>
      <w:r>
        <w:rPr>
          <w:rFonts w:ascii="Liberation Serif" w:hAnsi="Liberation Serif"/>
        </w:rPr>
        <w:t xml:space="preserve">both </w:t>
      </w:r>
      <w:r>
        <w:rPr>
          <w:rFonts w:ascii="Liberation Serif" w:hAnsi="Liberation Serif"/>
        </w:rPr>
        <w:t xml:space="preserve">Gor’kii’s works under-represent “tsar,” the eighth most common lemma in the holy book. </w:t>
      </w:r>
      <w:r>
        <w:rPr>
          <w:rFonts w:ascii="Liberation Serif" w:hAnsi="Liberation Serif"/>
        </w:rPr>
        <w:t xml:space="preserve">Individually, </w:t>
      </w:r>
      <w:r>
        <w:rPr>
          <w:rFonts w:ascii="Liberation Serif" w:hAnsi="Liberation Serif"/>
          <w:i/>
          <w:iCs/>
        </w:rPr>
        <w:t>Mother</w:t>
      </w:r>
      <w:r>
        <w:rPr>
          <w:rFonts w:ascii="Liberation Serif" w:hAnsi="Liberation Serif"/>
        </w:rPr>
        <w:t xml:space="preserve"> represses “lord” [</w:t>
      </w:r>
      <w:r>
        <w:rPr>
          <w:rFonts w:ascii="Liberation Serif" w:hAnsi="Liberation Serif"/>
          <w:i/>
          <w:iCs/>
        </w:rPr>
        <w:t>gospod’</w:t>
      </w:r>
      <w:r>
        <w:rPr>
          <w:rFonts w:ascii="Liberation Serif" w:hAnsi="Liberation Serif"/>
        </w:rPr>
        <w:t>] (first), “God” (fourth), and “father” [</w:t>
      </w:r>
      <w:r>
        <w:rPr>
          <w:rFonts w:ascii="Liberation Serif" w:hAnsi="Liberation Serif"/>
          <w:i/>
          <w:iCs/>
        </w:rPr>
        <w:t>otets</w:t>
      </w:r>
      <w:r>
        <w:rPr>
          <w:rFonts w:ascii="Liberation Serif" w:hAnsi="Liberation Serif"/>
        </w:rPr>
        <w:t xml:space="preserve">] (fourteenth); and </w:t>
      </w:r>
      <w:r>
        <w:rPr>
          <w:rFonts w:ascii="Liberation Serif" w:hAnsi="Liberation Serif"/>
          <w:i/>
          <w:iCs/>
        </w:rPr>
        <w:t>Confession</w:t>
      </w:r>
      <w:r>
        <w:rPr>
          <w:rFonts w:ascii="Liberation Serif" w:hAnsi="Liberation Serif"/>
        </w:rPr>
        <w:t xml:space="preserve"> de-emphasizes [</w:t>
      </w:r>
      <w:r>
        <w:rPr>
          <w:rFonts w:ascii="Liberation Serif" w:hAnsi="Liberation Serif"/>
          <w:i/>
          <w:iCs/>
        </w:rPr>
        <w:t>syn</w:t>
      </w:r>
      <w:r>
        <w:rPr>
          <w:rFonts w:ascii="Liberation Serif" w:hAnsi="Liberation Serif"/>
        </w:rPr>
        <w:t>] (third), “home” [</w:t>
      </w:r>
      <w:r>
        <w:rPr>
          <w:rFonts w:ascii="Liberation Serif" w:hAnsi="Liberation Serif"/>
          <w:i/>
          <w:iCs/>
        </w:rPr>
        <w:t>dom</w:t>
      </w:r>
      <w:r>
        <w:rPr>
          <w:rFonts w:ascii="Liberation Serif" w:hAnsi="Liberation Serif"/>
        </w:rPr>
        <w:t>] (eleventh), and “city” [</w:t>
      </w:r>
      <w:r>
        <w:rPr>
          <w:rFonts w:ascii="Liberation Serif" w:hAnsi="Liberation Serif"/>
          <w:i/>
          <w:iCs/>
        </w:rPr>
        <w:t>gorod</w:t>
      </w:r>
      <w:r>
        <w:rPr>
          <w:rFonts w:ascii="Liberation Serif" w:hAnsi="Liberation Serif"/>
        </w:rPr>
        <w:t xml:space="preserve">] (seventeenth). In this we see Gor’kii’s earlier novel </w:t>
      </w:r>
      <w:r>
        <w:rPr>
          <w:rFonts w:ascii="Liberation Serif" w:hAnsi="Liberation Serif"/>
        </w:rPr>
        <w:t xml:space="preserve">attempting to avoid fathers of all kinds, as discussed in the chapter. Similarly, the mature vagabond tone of the latter work shines through here. </w:t>
      </w:r>
      <w:r>
        <w:rPr>
          <w:rFonts w:ascii="Liberation Serif" w:hAnsi="Liberation Serif"/>
          <w:i/>
          <w:iCs/>
        </w:rPr>
        <w:t>Figure B</w:t>
      </w:r>
      <w:r>
        <w:rPr>
          <w:rFonts w:ascii="Liberation Serif" w:hAnsi="Liberation Serif"/>
        </w:rPr>
        <w:t xml:space="preserve"> shows these same trends in the negative by putting the light on the words of the Bible the appear most commonly in </w:t>
      </w:r>
      <w:r>
        <w:rPr>
          <w:rFonts w:ascii="Liberation Serif" w:hAnsi="Liberation Serif"/>
          <w:i/>
          <w:iCs/>
        </w:rPr>
        <w:t>Mother</w:t>
      </w:r>
      <w:r>
        <w:rPr>
          <w:rFonts w:ascii="Liberation Serif" w:hAnsi="Liberation Serif"/>
        </w:rPr>
        <w:t xml:space="preserve"> and </w:t>
      </w:r>
      <w:r>
        <w:rPr>
          <w:rFonts w:ascii="Liberation Serif" w:hAnsi="Liberation Serif"/>
          <w:i/>
          <w:iCs/>
        </w:rPr>
        <w:t>Confession</w:t>
      </w:r>
      <w:r>
        <w:rPr>
          <w:rFonts w:ascii="Liberation Serif" w:hAnsi="Liberation Serif"/>
        </w:rPr>
        <w:t xml:space="preserve">. </w:t>
      </w:r>
    </w:p>
    <w:p>
      <w:pPr>
        <w:pStyle w:val="Normal"/>
        <w:spacing w:lineRule="auto" w:line="480"/>
        <w:jc w:val="left"/>
        <w:rPr>
          <w:rFonts w:ascii="Liberation Serif" w:hAnsi="Liberation Serif"/>
        </w:rPr>
      </w:pPr>
      <w:r>
        <w:rPr>
          <w:rFonts w:ascii="Liberation Serif" w:hAnsi="Liberation Serif"/>
        </w:rPr>
        <w:tab/>
      </w:r>
      <w:r>
        <w:rPr>
          <w:rFonts w:ascii="Liberation Serif" w:hAnsi="Liberation Serif"/>
        </w:rPr>
        <w:t xml:space="preserve">In the token window experiment, there was success in identifying known transpositions, but I was unable to discover a new instance with the help of the program. In the end, it was most effective to use a token window of seven to eight tokens. With higher quantities, false positive begin multiplying seemingly exponentially, and below that point, numbers begin dropping rapidly. With seven-token windows, the program identified 45,597 windows with at least 3 overlapping words, with the highest being six of the seven tokens matching. These were, however, examples of the noisiness often encountered in exploratory textual analytics. </w:t>
      </w:r>
      <w:r>
        <w:rPr>
          <w:rFonts w:ascii="Liberation Serif" w:hAnsi="Liberation Serif"/>
          <w:i/>
          <w:iCs/>
        </w:rPr>
        <w:t>Figure C</w:t>
      </w:r>
      <w:r>
        <w:rPr>
          <w:rFonts w:ascii="Liberation Serif" w:hAnsi="Liberation Serif"/>
        </w:rPr>
        <w:t xml:space="preserve"> shows a parsing table I created in order to work through the data. Eliminating stopwords and reducing remaining tokens to lemmas renders windows that can be repetitive, senseless, and vague. The example in the figure demonstrates how simple it may be to actually have six word matches without actually meaning anything significant, like window #5232 from </w:t>
      </w:r>
      <w:r>
        <w:rPr>
          <w:rFonts w:ascii="Liberation Serif" w:hAnsi="Liberation Serif"/>
          <w:i/>
          <w:iCs/>
        </w:rPr>
        <w:t>Mother</w:t>
      </w:r>
      <w:r>
        <w:rPr>
          <w:rFonts w:ascii="Liberation Serif" w:hAnsi="Liberation Serif"/>
        </w:rPr>
        <w:t xml:space="preserve">. For future purposes in refining the program, more advanced techniques that include </w:t>
      </w:r>
      <w:r>
        <w:rPr>
          <w:rFonts w:ascii="Liberation Serif" w:hAnsi="Liberation Serif"/>
        </w:rPr>
        <w:t>semantic context will be crucial to honing the algorithm’s work. Relying on authors to use the exact language, even when adding some flexibility with by deriving tokens’ lemmas, creates more problems than it solves. Additional approaches can be implemented to consider matches between windows based on similarity in meaning rather than the word itself.</w:t>
      </w:r>
      <w:r>
        <mc:AlternateContent>
          <mc:Choice Requires="wps">
            <w:drawing>
              <wp:anchor behindDoc="0" distT="0" distB="0" distL="0" distR="0" simplePos="0" locked="0" layoutInCell="0" allowOverlap="1" relativeHeight="3">
                <wp:simplePos x="0" y="0"/>
                <wp:positionH relativeFrom="column">
                  <wp:posOffset>34290</wp:posOffset>
                </wp:positionH>
                <wp:positionV relativeFrom="paragraph">
                  <wp:posOffset>53975</wp:posOffset>
                </wp:positionV>
                <wp:extent cx="5943600" cy="5151755"/>
                <wp:effectExtent l="0" t="0" r="0" b="0"/>
                <wp:wrapSquare wrapText="largest"/>
                <wp:docPr id="1" name="Frame1"/>
                <a:graphic xmlns:a="http://schemas.openxmlformats.org/drawingml/2006/main">
                  <a:graphicData uri="http://schemas.microsoft.com/office/word/2010/wordprocessingShape">
                    <wps:wsp>
                      <wps:cNvSpPr txBox="1"/>
                      <wps:spPr>
                        <a:xfrm>
                          <a:off x="0" y="0"/>
                          <a:ext cx="5943600" cy="5151755"/>
                        </a:xfrm>
                        <a:prstGeom prst="rect"/>
                        <a:solidFill>
                          <a:srgbClr val="FFFFFF"/>
                        </a:solidFill>
                      </wps:spPr>
                      <wps:txbx>
                        <w:txbxContent>
                          <w:p>
                            <w:pPr>
                              <w:pStyle w:val="Figure"/>
                              <w:spacing w:before="120" w:after="120"/>
                              <w:rPr/>
                            </w:pPr>
                            <w:r>
                              <w:rPr/>
                              <w:drawing>
                                <wp:inline distT="0" distB="0" distL="0" distR="0">
                                  <wp:extent cx="5943600" cy="47917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43600" cy="4791710"/>
                                          </a:xfrm>
                                          <a:prstGeom prst="rect">
                                            <a:avLst/>
                                          </a:prstGeom>
                                          <a:noFill/>
                                        </pic:spPr>
                                      </pic:pic>
                                    </a:graphicData>
                                  </a:graphic>
                                </wp:inline>
                              </w:drawing>
                              <w:t xml:space="preserve">Figure </w:t>
                            </w:r>
                            <w:r>
                              <w:rPr/>
                              <w:fldChar w:fldCharType="begin"/>
                            </w:r>
                            <w:r>
                              <w:rPr/>
                              <w:instrText xml:space="preserve"> SEQ Figure \* ALPHABETIC </w:instrText>
                            </w:r>
                            <w:r>
                              <w:rPr/>
                              <w:fldChar w:fldCharType="separate"/>
                            </w:r>
                            <w:r>
                              <w:rPr/>
                              <w:t>A</w:t>
                            </w:r>
                            <w:r>
                              <w:rPr/>
                              <w:fldChar w:fldCharType="end"/>
                            </w:r>
                            <w:r>
                              <w:rPr/>
                              <w:t>: The 25 Most Common Lemmas in Mother, the Bible, and Confession</w:t>
                            </w:r>
                          </w:p>
                        </w:txbxContent>
                      </wps:txbx>
                      <wps:bodyPr anchor="t" lIns="17780" tIns="17780" rIns="17780" bIns="17780">
                        <a:noAutofit/>
                      </wps:bodyPr>
                    </wps:wsp>
                  </a:graphicData>
                </a:graphic>
              </wp:anchor>
            </w:drawing>
          </mc:Choice>
          <mc:Fallback>
            <w:pict>
              <v:rect style="position:absolute;rotation:-0;width:468pt;height:405.65pt;mso-wrap-distance-left:0pt;mso-wrap-distance-right:0pt;mso-wrap-distance-top:0pt;mso-wrap-distance-bottom:0pt;margin-top:4.25pt;mso-position-vertical-relative:text;margin-left:2.7pt;mso-position-horizontal-relative:text">
                <v:textbox inset="0.0194444444444444in,0.0194444444444444in,0.0194444444444444in,0.0194444444444444in">
                  <w:txbxContent>
                    <w:p>
                      <w:pPr>
                        <w:pStyle w:val="Figure"/>
                        <w:spacing w:before="120" w:after="120"/>
                        <w:rPr/>
                      </w:pPr>
                      <w:r>
                        <w:rPr/>
                        <w:drawing>
                          <wp:inline distT="0" distB="0" distL="0" distR="0">
                            <wp:extent cx="5943600" cy="47917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3600" cy="4791710"/>
                                    </a:xfrm>
                                    <a:prstGeom prst="rect">
                                      <a:avLst/>
                                    </a:prstGeom>
                                    <a:noFill/>
                                  </pic:spPr>
                                </pic:pic>
                              </a:graphicData>
                            </a:graphic>
                          </wp:inline>
                        </w:drawing>
                        <w:t xml:space="preserve">Figure </w:t>
                      </w:r>
                      <w:r>
                        <w:rPr/>
                        <w:fldChar w:fldCharType="begin"/>
                      </w:r>
                      <w:r>
                        <w:rPr/>
                        <w:instrText xml:space="preserve"> SEQ Figure \* ALPHABETIC </w:instrText>
                      </w:r>
                      <w:r>
                        <w:rPr/>
                        <w:fldChar w:fldCharType="separate"/>
                      </w:r>
                      <w:r>
                        <w:rPr/>
                        <w:t>A</w:t>
                      </w:r>
                      <w:r>
                        <w:rPr/>
                        <w:fldChar w:fldCharType="end"/>
                      </w:r>
                      <w:r>
                        <w:rPr/>
                        <w:t>: The 25 Most Common Lemmas in Mother, the Bible, and Confession</w:t>
                      </w:r>
                    </w:p>
                  </w:txbxContent>
                </v:textbox>
                <w10:wrap type="square" side="largest"/>
              </v:rect>
            </w:pict>
          </mc:Fallback>
        </mc:AlternateContent>
      </w:r>
    </w:p>
    <w:p>
      <w:pPr>
        <w:pStyle w:val="PreformattedText"/>
        <w:spacing w:lineRule="auto" w:line="480"/>
        <w:jc w:val="left"/>
        <w:rPr>
          <w:rFonts w:ascii="Liberation Serif" w:hAnsi="Liberation Serif"/>
        </w:rPr>
      </w:pPr>
      <w:r>
        <w:rPr>
          <w:rFonts w:ascii="Liberation Serif" w:hAnsi="Liberation Serif"/>
        </w:rPr>
      </w:r>
    </w:p>
    <w:p>
      <w:pPr>
        <w:pStyle w:val="PreformattedText"/>
        <w:spacing w:lineRule="auto" w:line="480"/>
        <w:jc w:val="left"/>
        <w:rPr>
          <w:rFonts w:ascii="Liberation Serif" w:hAnsi="Liberation Serif"/>
        </w:rPr>
      </w:pPr>
      <w:r>
        <w:rPr>
          <w:rFonts w:ascii="Liberation Serif" w:hAnsi="Liberation Serif"/>
        </w:rPr>
      </w:r>
      <w:r>
        <w:br w:type="page"/>
      </w:r>
      <w:r>
        <mc:AlternateContent>
          <mc:Choice Requires="wps">
            <w:drawing>
              <wp:anchor behindDoc="0" distT="0" distB="0" distL="0" distR="0" simplePos="0" locked="0" layoutInCell="0" allowOverlap="1" relativeHeight="5">
                <wp:simplePos x="0" y="0"/>
                <wp:positionH relativeFrom="column">
                  <wp:posOffset>3603625</wp:posOffset>
                </wp:positionH>
                <wp:positionV relativeFrom="paragraph">
                  <wp:posOffset>2954020</wp:posOffset>
                </wp:positionV>
                <wp:extent cx="1449705" cy="5655945"/>
                <wp:effectExtent l="0" t="0" r="0" b="0"/>
                <wp:wrapSquare wrapText="largest"/>
                <wp:docPr id="4" name="Frame2"/>
                <a:graphic xmlns:a="http://schemas.openxmlformats.org/drawingml/2006/main">
                  <a:graphicData uri="http://schemas.microsoft.com/office/word/2010/wordprocessingShape">
                    <wps:wsp>
                      <wps:cNvSpPr txBox="1"/>
                      <wps:spPr>
                        <a:xfrm>
                          <a:off x="0" y="0"/>
                          <a:ext cx="1449705" cy="5655945"/>
                        </a:xfrm>
                        <a:prstGeom prst="rect"/>
                        <a:solidFill>
                          <a:srgbClr val="FFFFFF"/>
                        </a:solidFill>
                        <a:ln>
                          <a:solidFill>
                            <a:srgbClr val="000000"/>
                          </a:solidFill>
                        </a:ln>
                      </wps:spPr>
                      <wps:txbx>
                        <w:txbxContent>
                          <w:p>
                            <w:pPr>
                              <w:pStyle w:val="Figure"/>
                              <w:spacing w:before="120" w:after="120"/>
                              <w:rPr/>
                            </w:pPr>
                            <w:r>
                              <w:rPr/>
                              <w:drawing>
                                <wp:inline distT="0" distB="0" distL="0" distR="0">
                                  <wp:extent cx="2456815" cy="69234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456815" cy="6923405"/>
                                          </a:xfrm>
                                          <a:prstGeom prst="rect">
                                            <a:avLst/>
                                          </a:prstGeom>
                                          <a:noFill/>
                                        </pic:spPr>
                                      </pic:pic>
                                    </a:graphicData>
                                  </a:graphic>
                                </wp:inline>
                              </w:drawing>
                              <w:t xml:space="preserve">Figure </w:t>
                            </w:r>
                            <w:r>
                              <w:rPr/>
                              <w:fldChar w:fldCharType="begin"/>
                            </w:r>
                            <w:r>
                              <w:rPr/>
                              <w:instrText xml:space="preserve"> SEQ Figure \* ALPHABETIC </w:instrText>
                            </w:r>
                            <w:r>
                              <w:rPr/>
                              <w:fldChar w:fldCharType="separate"/>
                            </w:r>
                            <w:r>
                              <w:rPr/>
                              <w:t>B</w:t>
                            </w:r>
                            <w:r>
                              <w:rPr/>
                              <w:fldChar w:fldCharType="end"/>
                            </w:r>
                            <w:r>
                              <w:rPr/>
                              <w:t>: The Bible's Words in Mother and Confession</w:t>
                            </w:r>
                          </w:p>
                        </w:txbxContent>
                      </wps:txbx>
                      <wps:bodyPr anchor="t" lIns="18415" tIns="18415" rIns="18415" bIns="18415">
                        <a:noAutofit/>
                      </wps:bodyPr>
                    </wps:wsp>
                  </a:graphicData>
                </a:graphic>
              </wp:anchor>
            </w:drawing>
          </mc:Choice>
          <mc:Fallback>
            <w:pict>
              <v:rect strokecolor="#000000" strokeweight="0pt" style="position:absolute;rotation:-0;width:114.15pt;height:445.35pt;mso-wrap-distance-left:0pt;mso-wrap-distance-right:0pt;mso-wrap-distance-top:0pt;mso-wrap-distance-bottom:0pt;margin-top:232.6pt;mso-position-vertical-relative:text;margin-left:283.75pt;mso-position-horizontal-relative:text">
                <v:textbox inset="0.0201388888888889in,0.0201388888888889in,0.0201388888888889in,0.0201388888888889in">
                  <w:txbxContent>
                    <w:p>
                      <w:pPr>
                        <w:pStyle w:val="Figure"/>
                        <w:spacing w:before="120" w:after="120"/>
                        <w:rPr/>
                      </w:pPr>
                      <w:r>
                        <w:rPr/>
                        <w:drawing>
                          <wp:inline distT="0" distB="0" distL="0" distR="0">
                            <wp:extent cx="2456815" cy="692340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2456815" cy="6923405"/>
                                    </a:xfrm>
                                    <a:prstGeom prst="rect">
                                      <a:avLst/>
                                    </a:prstGeom>
                                    <a:noFill/>
                                  </pic:spPr>
                                </pic:pic>
                              </a:graphicData>
                            </a:graphic>
                          </wp:inline>
                        </w:drawing>
                        <w:t xml:space="preserve">Figure </w:t>
                      </w:r>
                      <w:r>
                        <w:rPr/>
                        <w:fldChar w:fldCharType="begin"/>
                      </w:r>
                      <w:r>
                        <w:rPr/>
                        <w:instrText xml:space="preserve"> SEQ Figure \* ALPHABETIC </w:instrText>
                      </w:r>
                      <w:r>
                        <w:rPr/>
                        <w:fldChar w:fldCharType="separate"/>
                      </w:r>
                      <w:r>
                        <w:rPr/>
                        <w:t>B</w:t>
                      </w:r>
                      <w:r>
                        <w:rPr/>
                        <w:fldChar w:fldCharType="end"/>
                      </w:r>
                      <w:r>
                        <w:rPr/>
                        <w:t>: The Bible's Words in Mother and Confession</w:t>
                      </w:r>
                    </w:p>
                  </w:txbxContent>
                </v:textbox>
                <w10:wrap type="square" side="largest"/>
              </v:rect>
            </w:pict>
          </mc:Fallback>
        </mc:AlternateContent>
      </w:r>
    </w:p>
    <w:p>
      <w:pPr>
        <w:pStyle w:val="Normal"/>
        <w:spacing w:lineRule="auto" w:line="480" w:before="0" w:after="160"/>
        <w:jc w:val="left"/>
        <w:rPr>
          <w:rFonts w:ascii="Liberation Serif" w:hAnsi="Liberation Serif"/>
        </w:rPr>
      </w:pPr>
      <w:r>
        <w:rPr>
          <w:rFonts w:ascii="Liberation Serif" w:hAnsi="Liberation Serif"/>
        </w:rPr>
        <w:t>Schema</w:t>
      </w:r>
    </w:p>
    <w:p>
      <w:pPr>
        <w:pStyle w:val="Normal"/>
        <w:numPr>
          <w:ilvl w:val="1"/>
          <w:numId w:val="1"/>
        </w:numPr>
        <w:spacing w:lineRule="auto" w:line="240"/>
        <w:jc w:val="left"/>
        <w:rPr>
          <w:rFonts w:ascii="Liberation Serif" w:hAnsi="Liberation Serif"/>
        </w:rPr>
      </w:pPr>
      <w:r>
        <w:rPr>
          <w:rFonts w:ascii="Liberation Serif" w:hAnsi="Liberation Serif"/>
        </w:rPr>
        <w:t xml:space="preserve">transposition object </w:t>
      </w:r>
    </w:p>
    <w:p>
      <w:pPr>
        <w:pStyle w:val="Normal"/>
        <w:numPr>
          <w:ilvl w:val="2"/>
          <w:numId w:val="1"/>
        </w:numPr>
        <w:spacing w:lineRule="auto" w:line="240"/>
        <w:jc w:val="left"/>
        <w:rPr/>
      </w:pPr>
      <w:r>
        <w:rPr>
          <w:rFonts w:ascii="Liberation Serif" w:hAnsi="Liberation Serif"/>
          <w:b/>
          <w:bCs/>
        </w:rPr>
        <w:t>id</w:t>
      </w:r>
      <w:bookmarkStart w:id="0" w:name="__DdeLink__3124_1624992263"/>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4"/>
          <w:numId w:val="1"/>
        </w:numPr>
        <w:spacing w:lineRule="auto" w:line="240"/>
        <w:jc w:val="left"/>
        <w:rPr>
          <w:rFonts w:ascii="Liberation Serif" w:hAnsi="Liberation Serif"/>
        </w:rPr>
      </w:pPr>
      <w:r>
        <w:rPr>
          <w:rFonts w:ascii="Liberation Serif" w:hAnsi="Liberation Serif"/>
        </w:rPr>
        <w:t>pastiche : a friendly, generally faithful recreation an Orthodox referent</w:t>
      </w:r>
    </w:p>
    <w:p>
      <w:pPr>
        <w:pStyle w:val="Normal"/>
        <w:numPr>
          <w:ilvl w:val="4"/>
          <w:numId w:val="1"/>
        </w:numPr>
        <w:spacing w:lineRule="auto" w:line="240"/>
        <w:jc w:val="left"/>
        <w:rPr>
          <w:rFonts w:ascii="Liberation Serif" w:hAnsi="Liberation Serif"/>
        </w:rPr>
      </w:pPr>
      <w:r>
        <w:rPr>
          <w:rFonts w:ascii="Liberation Serif" w:hAnsi="Liberation Serif"/>
        </w:rPr>
        <w:t>imitation : a neutral re-creation of an Orthodox referent</w:t>
      </w:r>
    </w:p>
    <w:p>
      <w:pPr>
        <w:pStyle w:val="Normal"/>
        <w:numPr>
          <w:ilvl w:val="4"/>
          <w:numId w:val="1"/>
        </w:numPr>
        <w:spacing w:lineRule="auto" w:line="240"/>
        <w:jc w:val="left"/>
        <w:rPr>
          <w:rFonts w:ascii="Liberation Serif" w:hAnsi="Liberation Serif"/>
        </w:rPr>
      </w:pPr>
      <w:r>
        <w:rPr>
          <w:rFonts w:ascii="Liberation Serif" w:hAnsi="Liberation Serif"/>
        </w:rPr>
        <w:t>parody : a mocking, largely negative re-creation of an Orthodox referent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rPr>
        <w:t>components</w:t>
      </w:r>
    </w:p>
    <w:p>
      <w:pPr>
        <w:pStyle w:val="Normal"/>
        <w:numPr>
          <w:ilvl w:val="3"/>
          <w:numId w:val="1"/>
        </w:numPr>
        <w:spacing w:lineRule="auto" w:line="240"/>
        <w:jc w:val="left"/>
        <w:rPr>
          <w:rFonts w:ascii="Liberation Serif" w:hAnsi="Liberation Serif"/>
        </w:rPr>
      </w:pPr>
      <w:r>
        <w:rPr>
          <w:rFonts w:ascii="Liberation Serif" w:hAnsi="Liberation Serif"/>
          <w:b/>
          <w:bCs/>
        </w:rPr>
        <w:t>element</w:t>
      </w:r>
      <w:r>
        <w:rPr>
          <w:rFonts w:ascii="Liberation Serif" w:hAnsi="Liberation Serif"/>
        </w:rPr>
        <w:t xml:space="preserve"> :: literary constitution of the transposition</w:t>
      </w:r>
    </w:p>
    <w:p>
      <w:pPr>
        <w:pStyle w:val="Normal"/>
        <w:numPr>
          <w:ilvl w:val="4"/>
          <w:numId w:val="1"/>
        </w:numPr>
        <w:spacing w:lineRule="auto" w:line="240"/>
        <w:jc w:val="left"/>
        <w:rPr>
          <w:rFonts w:ascii="Liberation Serif" w:hAnsi="Liberation Serif"/>
        </w:rPr>
      </w:pPr>
      <w:r>
        <w:rPr>
          <w:rFonts w:ascii="Liberation Serif" w:hAnsi="Liberation Serif"/>
        </w:rPr>
        <w:t>character : an entity, usually a person, from the Christian tradition, e.g., Job</w:t>
      </w:r>
    </w:p>
    <w:p>
      <w:pPr>
        <w:pStyle w:val="Normal"/>
        <w:numPr>
          <w:ilvl w:val="4"/>
          <w:numId w:val="1"/>
        </w:numPr>
        <w:spacing w:lineRule="auto" w:line="240"/>
        <w:jc w:val="left"/>
        <w:rPr>
          <w:rFonts w:ascii="Liberation Serif" w:hAnsi="Liberation Serif"/>
        </w:rPr>
      </w:pPr>
      <w:r>
        <w:rPr>
          <w:rFonts w:ascii="Liberation Serif" w:hAnsi="Liberation Serif"/>
        </w:rPr>
        <w:t>narrative : a recognizable narrative from an Orthodox text, e.g., parables, hagiographies</w:t>
      </w:r>
    </w:p>
    <w:p>
      <w:pPr>
        <w:pStyle w:val="Normal"/>
        <w:numPr>
          <w:ilvl w:val="4"/>
          <w:numId w:val="1"/>
        </w:numPr>
        <w:spacing w:lineRule="auto" w:line="240"/>
        <w:jc w:val="left"/>
        <w:rPr>
          <w:rFonts w:ascii="Liberation Serif" w:hAnsi="Liberation Serif"/>
        </w:rPr>
      </w:pPr>
      <w:r>
        <w:rPr>
          <w:rFonts w:ascii="Liberation Serif" w:hAnsi="Liberation Serif"/>
        </w:rPr>
        <w:t>symbol : a figure, shape, sign, color, or other phenomenon that derives its social meaning from the Christian tradition</w:t>
      </w:r>
    </w:p>
    <w:p>
      <w:pPr>
        <w:pStyle w:val="Normal"/>
        <w:numPr>
          <w:ilvl w:val="4"/>
          <w:numId w:val="1"/>
        </w:numPr>
        <w:spacing w:lineRule="auto" w:line="240"/>
        <w:jc w:val="left"/>
        <w:rPr>
          <w:rFonts w:ascii="Liberation Serif" w:hAnsi="Liberation Serif"/>
        </w:rPr>
      </w:pPr>
      <w:r>
        <w:rPr>
          <w:rFonts w:ascii="Liberation Serif" w:hAnsi="Liberation Serif"/>
        </w:rPr>
        <w:t xml:space="preserve">theme : </w:t>
      </w:r>
      <w:r>
        <w:rPr>
          <w:rFonts w:ascii="Liberation Serif" w:hAnsi="Liberation Serif"/>
        </w:rPr>
        <w:t>an identifiable, unifying topic that plays a notable role in Christianity</w:t>
      </w:r>
    </w:p>
    <w:p>
      <w:pPr>
        <w:pStyle w:val="Normal"/>
        <w:numPr>
          <w:ilvl w:val="3"/>
          <w:numId w:val="1"/>
        </w:numPr>
        <w:spacing w:lineRule="auto" w:line="240"/>
        <w:jc w:val="left"/>
        <w:rPr/>
      </w:pPr>
      <w:r>
        <w:rPr>
          <w:rFonts w:ascii="Liberation Serif" w:hAnsi="Liberation Serif"/>
          <w:b/>
          <w:bCs/>
        </w:rPr>
        <w:t>durability</w:t>
      </w:r>
      <w:r>
        <w:rPr>
          <w:rFonts w:ascii="Liberation Serif" w:hAnsi="Liberation Serif"/>
        </w:rPr>
        <w:t xml:space="preserve"> :: how the original message has been preserved/changed</w:t>
      </w:r>
    </w:p>
    <w:p>
      <w:pPr>
        <w:pStyle w:val="Normal"/>
        <w:numPr>
          <w:ilvl w:val="4"/>
          <w:numId w:val="1"/>
        </w:numPr>
        <w:spacing w:lineRule="auto" w:line="240"/>
        <w:jc w:val="left"/>
        <w:rPr/>
      </w:pPr>
      <w:r>
        <w:rPr>
          <w:rFonts w:ascii="Liberation Serif" w:hAnsi="Liberation Serif"/>
        </w:rPr>
        <w:t xml:space="preserve">unchanged : </w:t>
      </w:r>
    </w:p>
    <w:p>
      <w:pPr>
        <w:pStyle w:val="Normal"/>
        <w:numPr>
          <w:ilvl w:val="4"/>
          <w:numId w:val="1"/>
        </w:numPr>
        <w:spacing w:lineRule="auto" w:line="240"/>
        <w:jc w:val="left"/>
        <w:rPr/>
      </w:pPr>
      <w:r>
        <w:rPr>
          <w:rFonts w:ascii="Liberation Serif" w:hAnsi="Liberation Serif"/>
        </w:rPr>
        <w:t>changed_but_clear : identity of the source</w:t>
      </w:r>
    </w:p>
    <w:p>
      <w:pPr>
        <w:pStyle w:val="Normal"/>
        <w:numPr>
          <w:ilvl w:val="4"/>
          <w:numId w:val="1"/>
        </w:numPr>
        <w:spacing w:lineRule="auto" w:line="240"/>
        <w:jc w:val="left"/>
        <w:rPr/>
      </w:pPr>
      <w:r>
        <w:rPr>
          <w:rFonts w:ascii="Liberation Serif" w:hAnsi="Liberation Serif"/>
        </w:rPr>
        <w:t xml:space="preserve">changed_categorically : </w:t>
      </w:r>
    </w:p>
    <w:p>
      <w:pPr>
        <w:pStyle w:val="Normal"/>
        <w:numPr>
          <w:ilvl w:val="4"/>
          <w:numId w:val="1"/>
        </w:numPr>
        <w:spacing w:lineRule="auto" w:line="240"/>
        <w:jc w:val="left"/>
        <w:rPr/>
      </w:pPr>
      <w:r>
        <w:rPr>
          <w:rFonts w:ascii="Liberation Serif" w:hAnsi="Liberation Serif"/>
        </w:rPr>
        <w:t xml:space="preserve">abstract_reference : </w:t>
      </w:r>
    </w:p>
    <w:p>
      <w:pPr>
        <w:pStyle w:val="Normal"/>
        <w:numPr>
          <w:ilvl w:val="4"/>
          <w:numId w:val="1"/>
        </w:numPr>
        <w:spacing w:lineRule="auto" w:line="240"/>
        <w:jc w:val="left"/>
        <w:rPr/>
      </w:pPr>
      <w:r>
        <w:rPr>
          <w:rFonts w:ascii="Liberation Serif" w:hAnsi="Liberation Serif"/>
        </w:rPr>
        <w:t>syncretic_blend : repackage of religious element with significant presence of another ideology, e.g., paganism, tolstovstvo, materialism</w:t>
      </w:r>
    </w:p>
    <w:p>
      <w:pPr>
        <w:pStyle w:val="Normal"/>
        <w:numPr>
          <w:ilvl w:val="3"/>
          <w:numId w:val="1"/>
        </w:numPr>
        <w:spacing w:lineRule="auto" w:line="240"/>
        <w:jc w:val="left"/>
        <w:rPr/>
      </w:pPr>
      <w:r>
        <w:rPr>
          <w:rFonts w:ascii="Liberation Serif" w:hAnsi="Liberation Serif"/>
          <w:b/>
          <w:bCs/>
        </w:rPr>
        <w:t>religion</w:t>
      </w:r>
      <w:r>
        <w:rPr>
          <w:rFonts w:ascii="Liberation Serif" w:hAnsi="Liberation Serif"/>
        </w:rPr>
        <w:t xml:space="preserve"> :: religious message in the transposition</w:t>
      </w:r>
    </w:p>
    <w:p>
      <w:pPr>
        <w:pStyle w:val="Normal"/>
        <w:numPr>
          <w:ilvl w:val="4"/>
          <w:numId w:val="1"/>
        </w:numPr>
        <w:spacing w:lineRule="auto" w:line="240"/>
        <w:jc w:val="left"/>
        <w:rPr/>
      </w:pPr>
      <w:r>
        <w:rPr>
          <w:rFonts w:ascii="Liberation Serif" w:hAnsi="Liberation Serif"/>
        </w:rPr>
        <w:t xml:space="preserve">pro-orthodoxy : </w:t>
      </w:r>
      <w:r>
        <w:rPr>
          <w:rFonts w:ascii="Liberation Serif" w:hAnsi="Liberation Serif"/>
        </w:rPr>
        <w:t xml:space="preserve">promoting the </w:t>
      </w:r>
    </w:p>
    <w:p>
      <w:pPr>
        <w:pStyle w:val="Normal"/>
        <w:numPr>
          <w:ilvl w:val="4"/>
          <w:numId w:val="1"/>
        </w:numPr>
        <w:spacing w:lineRule="auto" w:line="240"/>
        <w:jc w:val="left"/>
        <w:rPr/>
      </w:pPr>
      <w:r>
        <w:rPr>
          <w:rFonts w:ascii="Liberation Serif" w:hAnsi="Liberation Serif"/>
        </w:rPr>
        <w:t xml:space="preserve">anti-orthodoxy : </w:t>
      </w:r>
      <w:r>
        <w:rPr>
          <w:rFonts w:ascii="Liberation Serif" w:hAnsi="Liberation Serif"/>
        </w:rPr>
        <w:t>arguing against Orthodoxy as-is, advocating reform but not necessarily abolition</w:t>
      </w:r>
    </w:p>
    <w:p>
      <w:pPr>
        <w:pStyle w:val="Normal"/>
        <w:numPr>
          <w:ilvl w:val="4"/>
          <w:numId w:val="1"/>
        </w:numPr>
        <w:spacing w:lineRule="auto" w:line="240"/>
        <w:jc w:val="left"/>
        <w:rPr/>
      </w:pPr>
      <w:r>
        <w:rPr>
          <w:rFonts w:ascii="Liberation Serif" w:hAnsi="Liberation Serif"/>
        </w:rPr>
        <w:t xml:space="preserve">anti-established_religion : </w:t>
      </w:r>
      <w:r>
        <w:rPr>
          <w:rFonts w:ascii="Liberation Serif" w:hAnsi="Liberation Serif"/>
        </w:rPr>
        <w:t>arguing against established religion regardless of denomination</w:t>
      </w:r>
    </w:p>
    <w:p>
      <w:pPr>
        <w:pStyle w:val="Normal"/>
        <w:numPr>
          <w:ilvl w:val="4"/>
          <w:numId w:val="1"/>
        </w:numPr>
        <w:spacing w:lineRule="auto" w:line="240"/>
        <w:jc w:val="left"/>
        <w:rPr/>
      </w:pPr>
      <w:r>
        <w:rPr>
          <w:rFonts w:ascii="Liberation Serif" w:hAnsi="Liberation Serif"/>
        </w:rPr>
        <w:t xml:space="preserve">pro-personal_religion : </w:t>
      </w:r>
      <w:r>
        <w:rPr>
          <w:rFonts w:ascii="Liberation Serif" w:hAnsi="Liberation Serif"/>
        </w:rPr>
        <w:t>arguing in favor of a private, internally held belief system</w:t>
      </w:r>
    </w:p>
    <w:p>
      <w:pPr>
        <w:pStyle w:val="Normal"/>
        <w:numPr>
          <w:ilvl w:val="3"/>
          <w:numId w:val="1"/>
        </w:numPr>
        <w:spacing w:lineRule="auto" w:line="240"/>
        <w:jc w:val="left"/>
        <w:rPr/>
      </w:pPr>
      <w:r>
        <w:rPr>
          <w:rFonts w:ascii="Liberation Serif" w:hAnsi="Liberation Serif"/>
          <w:b/>
          <w:bCs/>
        </w:rPr>
        <w:t>politics</w:t>
      </w:r>
      <w:r>
        <w:rPr>
          <w:rFonts w:ascii="Liberation Serif" w:hAnsi="Liberation Serif"/>
        </w:rPr>
        <w:t xml:space="preserve"> :: political message in the transposition</w:t>
      </w:r>
    </w:p>
    <w:p>
      <w:pPr>
        <w:pStyle w:val="Normal"/>
        <w:numPr>
          <w:ilvl w:val="4"/>
          <w:numId w:val="1"/>
        </w:numPr>
        <w:spacing w:lineRule="auto" w:line="240"/>
        <w:jc w:val="left"/>
        <w:rPr/>
      </w:pPr>
      <w:r>
        <w:rPr>
          <w:rFonts w:ascii="Liberation Serif" w:hAnsi="Liberation Serif"/>
        </w:rPr>
        <w:t>monarchist : supportive of the Russian Imperial monarch as a theocratic ruler</w:t>
      </w:r>
    </w:p>
    <w:p>
      <w:pPr>
        <w:pStyle w:val="Normal"/>
        <w:numPr>
          <w:ilvl w:val="4"/>
          <w:numId w:val="1"/>
        </w:numPr>
        <w:spacing w:lineRule="auto" w:line="240"/>
        <w:jc w:val="left"/>
        <w:rPr/>
      </w:pPr>
      <w:r>
        <w:rPr>
          <w:rFonts w:ascii="Liberation Serif" w:hAnsi="Liberation Serif"/>
        </w:rPr>
        <w:t xml:space="preserve">anarchist : supportive of </w:t>
      </w:r>
    </w:p>
    <w:p>
      <w:pPr>
        <w:pStyle w:val="Normal"/>
        <w:numPr>
          <w:ilvl w:val="4"/>
          <w:numId w:val="1"/>
        </w:numPr>
        <w:spacing w:lineRule="auto" w:line="240"/>
        <w:jc w:val="left"/>
        <w:rPr/>
      </w:pPr>
      <w:r>
        <w:rPr>
          <w:rFonts w:ascii="Liberation Serif" w:hAnsi="Liberation Serif"/>
        </w:rPr>
        <w:t xml:space="preserve">revolutionary : </w:t>
      </w:r>
    </w:p>
    <w:p>
      <w:pPr>
        <w:pStyle w:val="Normal"/>
        <w:numPr>
          <w:ilvl w:val="4"/>
          <w:numId w:val="1"/>
        </w:numPr>
        <w:spacing w:lineRule="auto" w:line="240"/>
        <w:jc w:val="left"/>
        <w:rPr/>
      </w:pPr>
      <w:r>
        <w:rPr>
          <w:rFonts w:ascii="Liberation Serif" w:hAnsi="Liberation Serif"/>
        </w:rPr>
        <w:t xml:space="preserve">westernizer : </w:t>
      </w:r>
    </w:p>
    <w:p>
      <w:pPr>
        <w:pStyle w:val="Normal"/>
        <w:numPr>
          <w:ilvl w:val="3"/>
          <w:numId w:val="1"/>
        </w:numPr>
        <w:spacing w:lineRule="auto" w:line="240"/>
        <w:jc w:val="left"/>
        <w:rPr/>
      </w:pPr>
      <w:r>
        <w:rPr>
          <w:rFonts w:ascii="Liberation Serif" w:hAnsi="Liberation Serif"/>
          <w:b/>
          <w:bCs/>
        </w:rPr>
        <w:t>function</w:t>
      </w:r>
      <w:r>
        <w:rPr>
          <w:rFonts w:ascii="Liberation Serif" w:hAnsi="Liberation Serif"/>
        </w:rPr>
        <w:t xml:space="preserve"> :: pragmatic purpose of the transposition in the text</w:t>
      </w:r>
    </w:p>
    <w:p>
      <w:pPr>
        <w:pStyle w:val="Normal"/>
        <w:numPr>
          <w:ilvl w:val="4"/>
          <w:numId w:val="1"/>
        </w:numPr>
        <w:spacing w:lineRule="auto" w:line="240"/>
        <w:jc w:val="left"/>
        <w:rPr/>
      </w:pPr>
      <w:r>
        <w:rPr>
          <w:rFonts w:ascii="Liberation Serif" w:hAnsi="Liberation Serif"/>
        </w:rPr>
        <w:t xml:space="preserve">social_critique : </w:t>
      </w:r>
    </w:p>
    <w:p>
      <w:pPr>
        <w:pStyle w:val="Normal"/>
        <w:numPr>
          <w:ilvl w:val="4"/>
          <w:numId w:val="1"/>
        </w:numPr>
        <w:spacing w:lineRule="auto" w:line="240"/>
        <w:jc w:val="left"/>
        <w:rPr/>
      </w:pPr>
      <w:r>
        <w:rPr>
          <w:rFonts w:ascii="Liberation Serif" w:hAnsi="Liberation Serif"/>
        </w:rPr>
        <w:t xml:space="preserve">political_critique : </w:t>
      </w:r>
    </w:p>
    <w:p>
      <w:pPr>
        <w:pStyle w:val="Normal"/>
        <w:numPr>
          <w:ilvl w:val="4"/>
          <w:numId w:val="1"/>
        </w:numPr>
        <w:spacing w:lineRule="auto" w:line="240"/>
        <w:jc w:val="left"/>
        <w:rPr/>
      </w:pPr>
      <w:r>
        <w:rPr>
          <w:rFonts w:ascii="Liberation Serif" w:hAnsi="Liberation Serif"/>
        </w:rPr>
        <w:t xml:space="preserve">church_critique : </w:t>
      </w:r>
    </w:p>
    <w:p>
      <w:pPr>
        <w:pStyle w:val="Normal"/>
        <w:numPr>
          <w:ilvl w:val="4"/>
          <w:numId w:val="1"/>
        </w:numPr>
        <w:spacing w:lineRule="auto" w:line="240"/>
        <w:jc w:val="left"/>
        <w:rPr/>
      </w:pPr>
      <w:r>
        <w:rPr>
          <w:rFonts w:ascii="Liberation Serif" w:hAnsi="Liberation Serif"/>
        </w:rPr>
        <w:t xml:space="preserve">moral_instruction : </w:t>
      </w:r>
    </w:p>
    <w:p>
      <w:pPr>
        <w:pStyle w:val="Normal"/>
        <w:numPr>
          <w:ilvl w:val="4"/>
          <w:numId w:val="1"/>
        </w:numPr>
        <w:spacing w:lineRule="auto" w:line="240"/>
        <w:jc w:val="left"/>
        <w:rPr>
          <w:rFonts w:ascii="Liberation Serif" w:hAnsi="Liberation Serif"/>
        </w:rPr>
      </w:pPr>
      <w:r>
        <w:rPr>
          <w:rFonts w:ascii="Liberation Serif" w:hAnsi="Liberation Serif"/>
          <w:b w:val="false"/>
          <w:bCs w:val="false"/>
        </w:rPr>
        <w:t>humor :</w:t>
      </w:r>
      <w:r>
        <w:rPr>
          <w:rFonts w:ascii="Liberation Serif" w:hAnsi="Liberation Serif"/>
          <w:b/>
          <w:bCs/>
        </w:rPr>
        <w:t xml:space="preserve"> </w:t>
      </w:r>
    </w:p>
    <w:p>
      <w:pPr>
        <w:pStyle w:val="Normal"/>
        <w:numPr>
          <w:ilvl w:val="2"/>
          <w:numId w:val="1"/>
        </w:numPr>
        <w:spacing w:lineRule="auto" w:line="240"/>
        <w:jc w:val="left"/>
        <w:rPr/>
      </w:pPr>
      <w:r>
        <w:rPr>
          <w:rFonts w:ascii="Liberation Serif" w:hAnsi="Liberation Serif"/>
          <w:b/>
          <w:bCs/>
        </w:rPr>
        <w:t>related_to</w:t>
      </w:r>
    </w:p>
    <w:p>
      <w:pPr>
        <w:pStyle w:val="Normal"/>
        <w:numPr>
          <w:ilvl w:val="3"/>
          <w:numId w:val="1"/>
        </w:numPr>
        <w:spacing w:lineRule="auto" w:line="240"/>
        <w:jc w:val="left"/>
        <w:rPr/>
      </w:pPr>
      <w:r>
        <w:rPr>
          <w:rFonts w:ascii="Liberation Serif" w:hAnsi="Liberation Serif"/>
        </w:rPr>
        <w:t>agent : may be related to 1+ agents</w:t>
      </w:r>
    </w:p>
    <w:p>
      <w:pPr>
        <w:pStyle w:val="Normal"/>
        <w:numPr>
          <w:ilvl w:val="3"/>
          <w:numId w:val="1"/>
        </w:numPr>
        <w:spacing w:lineRule="auto" w:line="240"/>
        <w:jc w:val="left"/>
        <w:rPr/>
      </w:pPr>
      <w:r>
        <w:rPr>
          <w:rFonts w:ascii="Liberation Serif" w:hAnsi="Liberation Serif"/>
        </w:rPr>
        <w:t>work : may be related to 1+ works</w:t>
      </w:r>
    </w:p>
    <w:p>
      <w:pPr>
        <w:pStyle w:val="Normal"/>
        <w:numPr>
          <w:ilvl w:val="3"/>
          <w:numId w:val="1"/>
        </w:numPr>
        <w:spacing w:lineRule="auto" w:line="240"/>
        <w:jc w:val="left"/>
        <w:rPr/>
      </w:pPr>
      <w:bookmarkEnd w:id="0"/>
      <w:r>
        <w:rPr>
          <w:rFonts w:ascii="Liberation Serif" w:hAnsi="Liberation Serif"/>
        </w:rPr>
        <w:t>bible verse: may be related to 1+ bible verses</w:t>
      </w:r>
    </w:p>
    <w:p>
      <w:pPr>
        <w:pStyle w:val="Normal"/>
        <w:numPr>
          <w:ilvl w:val="1"/>
          <w:numId w:val="1"/>
        </w:numPr>
        <w:spacing w:lineRule="auto" w:line="240"/>
        <w:jc w:val="left"/>
        <w:rPr>
          <w:rFonts w:ascii="Liberation Serif" w:hAnsi="Liberation Serif"/>
          <w:b/>
          <w:bCs/>
        </w:rPr>
      </w:pPr>
      <w:r>
        <w:rPr>
          <w:rFonts w:ascii="Liberation Serif" w:hAnsi="Liberation Serif"/>
          <w:b/>
          <w:bCs/>
        </w:rPr>
        <w:t>agent</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id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type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name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alternative_names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related_to</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work : may be related to 1+ works</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bible verse range : may be related to 1+ BV ranges</w:t>
      </w:r>
    </w:p>
    <w:p>
      <w:pPr>
        <w:pStyle w:val="Normal"/>
        <w:numPr>
          <w:ilvl w:val="1"/>
          <w:numId w:val="1"/>
        </w:numPr>
        <w:spacing w:lineRule="auto" w:line="240"/>
        <w:jc w:val="left"/>
        <w:rPr>
          <w:rFonts w:ascii="Liberation Serif" w:hAnsi="Liberation Serif"/>
          <w:b/>
          <w:bCs/>
        </w:rPr>
      </w:pPr>
      <w:r>
        <w:rPr>
          <w:rFonts w:ascii="Liberation Serif" w:hAnsi="Liberation Serif"/>
          <w:b/>
          <w:bCs/>
        </w:rPr>
        <w:t>work</w:t>
      </w:r>
    </w:p>
    <w:p>
      <w:pPr>
        <w:pStyle w:val="Normal"/>
        <w:numPr>
          <w:ilvl w:val="2"/>
          <w:numId w:val="1"/>
        </w:numPr>
        <w:spacing w:lineRule="auto" w:line="240"/>
        <w:jc w:val="left"/>
        <w:rPr/>
      </w:pPr>
      <w:r>
        <w:rPr>
          <w:rFonts w:ascii="Liberation Serif" w:hAnsi="Liberation Serif"/>
          <w:b/>
          <w:bCs/>
        </w:rPr>
        <w:t>id</w:t>
      </w:r>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b/>
          <w:bCs/>
        </w:rPr>
        <w:t>pub_date</w:t>
      </w:r>
      <w:r>
        <w:rPr>
          <w:rFonts w:ascii="Liberation Serif" w:hAnsi="Liberation Serif"/>
        </w:rPr>
        <w:t xml:space="preserve"> :: date of publication</w:t>
      </w:r>
    </w:p>
    <w:p>
      <w:pPr>
        <w:pStyle w:val="Normal"/>
        <w:numPr>
          <w:ilvl w:val="2"/>
          <w:numId w:val="1"/>
        </w:numPr>
        <w:spacing w:lineRule="auto" w:line="240"/>
        <w:jc w:val="left"/>
        <w:rPr>
          <w:rFonts w:ascii="Liberation Serif" w:hAnsi="Liberation Serif"/>
        </w:rPr>
      </w:pPr>
      <w:r>
        <w:rPr>
          <w:rFonts w:ascii="Liberation Serif" w:hAnsi="Liberation Serif"/>
          <w:b/>
          <w:bCs/>
        </w:rPr>
        <w:t>related_to</w:t>
      </w:r>
      <w:r>
        <w:rPr>
          <w:rFonts w:ascii="Liberation Serif" w:hAnsi="Liberation Serif"/>
        </w:rPr>
        <w:t>: agent, work, bible_verse_range</w:t>
      </w:r>
    </w:p>
    <w:p>
      <w:pPr>
        <w:pStyle w:val="Normal"/>
        <w:numPr>
          <w:ilvl w:val="1"/>
          <w:numId w:val="1"/>
        </w:numPr>
        <w:spacing w:lineRule="auto" w:line="240"/>
        <w:jc w:val="left"/>
        <w:rPr>
          <w:b/>
          <w:bCs/>
        </w:rPr>
      </w:pPr>
      <w:r>
        <w:rPr>
          <w:rFonts w:ascii="Liberation Serif" w:hAnsi="Liberation Serif"/>
          <w:b/>
          <w:bCs/>
        </w:rPr>
        <w:t>bible verse range</w:t>
      </w:r>
    </w:p>
    <w:p>
      <w:pPr>
        <w:pStyle w:val="Normal"/>
        <w:numPr>
          <w:ilvl w:val="2"/>
          <w:numId w:val="1"/>
        </w:numPr>
        <w:spacing w:lineRule="auto" w:line="240"/>
        <w:jc w:val="left"/>
        <w:rPr/>
      </w:pPr>
      <w:r>
        <w:rPr>
          <w:rFonts w:ascii="Liberation Serif" w:hAnsi="Liberation Serif"/>
        </w:rPr>
        <w:t>id :: brief unique name</w:t>
      </w:r>
    </w:p>
    <w:p>
      <w:pPr>
        <w:pStyle w:val="Normal"/>
        <w:numPr>
          <w:ilvl w:val="2"/>
          <w:numId w:val="1"/>
        </w:numPr>
        <w:spacing w:lineRule="auto" w:line="240"/>
        <w:jc w:val="left"/>
        <w:rPr/>
      </w:pPr>
      <w:r>
        <w:rPr>
          <w:rFonts w:ascii="Liberation Serif" w:hAnsi="Liberation Serif"/>
        </w:rPr>
        <w:t>start :: the first chapter and verse in the range</w:t>
      </w:r>
    </w:p>
    <w:p>
      <w:pPr>
        <w:pStyle w:val="Normal"/>
        <w:numPr>
          <w:ilvl w:val="2"/>
          <w:numId w:val="1"/>
        </w:numPr>
        <w:spacing w:lineRule="auto" w:line="240"/>
        <w:jc w:val="left"/>
        <w:rPr/>
      </w:pPr>
      <w:r>
        <w:rPr>
          <w:rFonts w:ascii="Liberation Serif" w:hAnsi="Liberation Serif"/>
        </w:rPr>
        <w:t>end :: the last chapter and verse in the range</w:t>
      </w:r>
    </w:p>
    <w:p>
      <w:pPr>
        <w:pStyle w:val="Normal"/>
        <w:numPr>
          <w:ilvl w:val="2"/>
          <w:numId w:val="1"/>
        </w:numPr>
        <w:spacing w:lineRule="auto" w:line="240"/>
        <w:jc w:val="left"/>
        <w:rPr/>
      </w:pPr>
      <w:r>
        <w:rPr>
          <w:rFonts w:ascii="Liberation Serif" w:hAnsi="Liberation Serif"/>
        </w:rPr>
        <w:t>related_to:</w:t>
      </w:r>
    </w:p>
    <w:p>
      <w:pPr>
        <w:pStyle w:val="Normal"/>
        <w:numPr>
          <w:ilvl w:val="3"/>
          <w:numId w:val="1"/>
        </w:numPr>
        <w:spacing w:lineRule="auto" w:line="240" w:before="0" w:after="160"/>
        <w:jc w:val="left"/>
        <w:rPr/>
      </w:pPr>
      <w:r>
        <w:rPr>
          <w:rFonts w:ascii="Liberation Serif" w:hAnsi="Liberation Serif"/>
        </w:rPr>
        <w:t>work : may be related to 1+ works</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Clowes, Edith W (eec3c)" w:date="2024-05-02T11:26:31Z" w:initials="C(">
    <w:p>
      <w:pPr>
        <w:overflowPunct w:val="false"/>
        <w:spacing w:before="0" w:after="0" w:lineRule="auto" w:line="240"/>
        <w:rPr/>
      </w:pPr>
      <w:r>
        <w:rPr>
          <w:rFonts w:ascii="Liberation Serif" w:hAnsi="Liberation Serif"/>
          <w:lang w:val="en-US" w:eastAsia="en-US" w:bidi="en-US"/>
        </w:rPr>
        <w:t>Add a sentence here to preview what you have done (generated a full digitally analyzable synodal bible) and what you can use it to show (stylistic parallels; parallels in characterization).</w:t>
      </w:r>
    </w:p>
    <w:p>
      <w:pPr>
        <w:overflowPunct w:val="false"/>
        <w:spacing w:before="0" w:after="0" w:lineRule="auto" w:line="240"/>
        <w:rPr/>
      </w:pPr>
      <w:r>
        <w:rPr>
          <w:rFonts w:ascii="Liberation Serif" w:hAnsi="Liberation Serif"/>
          <w:lang w:val="en-US" w:eastAsia="en-US" w:bidi="en-US"/>
        </w:rPr>
      </w:r>
    </w:p>
    <w:p w14:paraId="01000000">
      <w:pPr>
        <w:overflowPunct w:val="false"/>
        <w:spacing w:before="0" w:after="0" w:lineRule="auto" w:line="240"/>
        <w:rPr/>
      </w:pPr>
      <w:r>
        <w:rPr>
          <w:rFonts w:ascii="Liberation Serif" w:hAnsi="Liberation Serif"/>
          <w:lang w:val="en-US" w:eastAsia="en-US" w:bidi="en-US"/>
        </w:rPr>
        <w:t>At some point, you will need to anticipate the objection that there are many examples of bible-adjacent writing from the previous generation (principally Dostoevskii and Tolstoi, but also possibly Leskov and others). Also, possible similar writing in European texts that MG read..</w:t>
      </w:r>
    </w:p>
  </w:comment>
  <w:comment w:id="0" w:author="Clowes, Edith W (eec3c)" w:date="2024-09-22T10:11:36Z" w:initials="C(">
    <w:p>
      <w:pPr>
        <w:overflowPunct w:val="false"/>
        <w:spacing w:before="0" w:after="0" w:lineRule="auto" w:line="240"/>
        <w:rPr/>
      </w:pPr>
      <w:r>
        <w:rPr>
          <w:rFonts w:ascii="Liberation Serif" w:hAnsi="Liberation Serif"/>
          <w:lang w:val="en-US" w:eastAsia="en-US" w:bidi="en-US"/>
        </w:rPr>
        <w:t xml:space="preserve">New ¶: with preview--something like: First, I created machine-readable texts of three works, the Synodal Bible, Mother, and Confession. I then wrote the code to instruct the computer to find shared vocabulary and phrasing between the bible and each of the two novels. This chapter describes my methodology and early findings.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 xml:space="preserve">The underlying programming code for this project as described in this chapter is available at </w:t>
      </w:r>
      <w:hyperlink r:id="rId1">
        <w:r>
          <w:rPr>
            <w:rStyle w:val="Hyperlink"/>
          </w:rPr>
          <w:t>https://github.com/kollektivminds/russian-literary-bible</w:t>
        </w:r>
      </w:hyperlink>
      <w:r>
        <w:rPr/>
        <w:t>.</w:t>
      </w:r>
    </w:p>
  </w:footnote>
  <w:footnote w:id="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В глубокой древности, когда человек начал мыслить, он мыслил технологически, то есть опираясь исключительно и только на свой трудовой опыт. Технология — это логика фактов, создаваемых трудовой деятельностью людей, идеология — логика идей, то есть логика смыслов, извлечённых из фактов, - смыслов, которые предуказуют пути, приёмы и формы творчества новых фактов.”</w:t>
      </w:r>
    </w:p>
  </w:footnote>
  <w:footnote w:id="4">
    <w:p>
      <w:pPr>
        <w:pStyle w:val="FootnoteText"/>
        <w:bidi w:val="0"/>
        <w:rPr/>
      </w:pPr>
      <w:r>
        <w:rPr>
          <w:rStyle w:val="FootnoteCharacters"/>
        </w:rPr>
        <w:footnoteRef/>
      </w:r>
      <w:r>
        <w:rPr/>
        <w:t xml:space="preserve"> “</w:t>
      </w:r>
      <w:r>
        <w:rPr/>
        <w:t xml:space="preserve">Publications,” Yandex Research, accessed March 1, 2025, </w:t>
      </w:r>
      <w:hyperlink r:id="rId2">
        <w:r>
          <w:rPr>
            <w:rStyle w:val="Hyperlink"/>
          </w:rPr>
          <w:t>https://research.yandex.com/publications</w:t>
        </w:r>
      </w:hyperlink>
      <w:r>
        <w:rPr/>
        <w:t>.</w:t>
      </w:r>
    </w:p>
  </w:footnote>
  <w:footnote w:id="5">
    <w:p>
      <w:pPr>
        <w:pStyle w:val="FootnoteText"/>
        <w:bidi w:val="0"/>
        <w:rPr/>
      </w:pPr>
      <w:r>
        <w:rPr>
          <w:rStyle w:val="FootnoteCharacters"/>
        </w:rPr>
        <w:footnoteRef/>
      </w:r>
      <w:r>
        <w:rPr/>
        <w:t xml:space="preserve"> </w:t>
      </w:r>
      <w:r>
        <w:rPr/>
        <w:t xml:space="preserve">DP: </w:t>
      </w:r>
      <w:bookmarkStart w:id="1" w:name="__DdeLink__938_560614508_Copy_1_Copy_1_C"/>
      <w:r>
        <w:rPr/>
        <w:t>https://github.com/deeppavlov</w:t>
      </w:r>
      <w:bookmarkEnd w:id="1"/>
    </w:p>
    <w:p>
      <w:pPr>
        <w:pStyle w:val="FootnoteText"/>
        <w:bidi w:val="0"/>
        <w:rPr/>
      </w:pPr>
      <w:r>
        <w:rPr/>
        <w:t>Natasha: https://github.com/natasha</w:t>
      </w:r>
    </w:p>
  </w:footnote>
  <w:footnote w:id="6">
    <w:p>
      <w:pPr>
        <w:pStyle w:val="FootnoteText"/>
        <w:bidi w:val="0"/>
        <w:rPr/>
      </w:pPr>
      <w:r>
        <w:rPr>
          <w:rStyle w:val="FootnoteCharacters"/>
        </w:rPr>
        <w:footnoteRef/>
      </w:r>
      <w:r>
        <w:rPr/>
        <w:t xml:space="preserve"> </w:t>
      </w:r>
      <w:r>
        <w:rPr/>
        <w:t xml:space="preserve">To compare the outcomes, we may look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4"/>
        <w:szCs w:val="24"/>
        <w:lang w:val="en-US" w:eastAsia="ja-JP"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60"/>
      <w:jc w:val="left"/>
    </w:pPr>
    <w:rPr>
      <w:rFonts w:ascii="Aptos" w:hAnsi="Aptos" w:eastAsia="DejaVu Sans" w:cs="DejaVu San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DejaVu Sans"/>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DejaVu Sans"/>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DejaVu San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DejaVu Sans"/>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DejaVu Sans"/>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DejaVu Sans"/>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eastAsia="DejaVu Sans" w:cs="DejaVu Sans"/>
      <w:color w:themeColor="accent1" w:themeShade="bf" w:val="0F4761"/>
      <w:sz w:val="28"/>
      <w:szCs w:val="28"/>
    </w:rPr>
  </w:style>
  <w:style w:type="character" w:styleId="Heading4Char">
    <w:name w:val="Heading 4 Char"/>
    <w:basedOn w:val="DefaultParagraphFont"/>
    <w:link w:val="Heading4"/>
    <w:qFormat/>
    <w:rPr>
      <w:rFonts w:eastAsia="DejaVu Sans" w:cs="DejaVu Sans"/>
      <w:i/>
      <w:iCs/>
      <w:color w:themeColor="accent1" w:themeShade="bf" w:val="0F4761"/>
    </w:rPr>
  </w:style>
  <w:style w:type="character" w:styleId="Heading5Char">
    <w:name w:val="Heading 5 Char"/>
    <w:basedOn w:val="DefaultParagraphFont"/>
    <w:link w:val="Heading5"/>
    <w:qFormat/>
    <w:rPr>
      <w:rFonts w:eastAsia="DejaVu Sans" w:cs="DejaVu Sans"/>
      <w:color w:themeColor="accent1" w:themeShade="bf" w:val="0F4761"/>
    </w:rPr>
  </w:style>
  <w:style w:type="character" w:styleId="Heading6Char">
    <w:name w:val="Heading 6 Char"/>
    <w:basedOn w:val="DefaultParagraphFont"/>
    <w:link w:val="Heading6"/>
    <w:qFormat/>
    <w:rPr>
      <w:rFonts w:eastAsia="DejaVu Sans" w:cs="DejaVu Sans"/>
      <w:i/>
      <w:iCs/>
      <w:color w:themeColor="dark1" w:themeTint="a6" w:val="595959"/>
    </w:rPr>
  </w:style>
  <w:style w:type="character" w:styleId="Heading7Char">
    <w:name w:val="Heading 7 Char"/>
    <w:basedOn w:val="DefaultParagraphFont"/>
    <w:link w:val="Heading7"/>
    <w:qFormat/>
    <w:rPr>
      <w:rFonts w:eastAsia="DejaVu Sans" w:cs="DejaVu Sans"/>
      <w:color w:themeColor="dark1" w:themeTint="a6" w:val="595959"/>
    </w:rPr>
  </w:style>
  <w:style w:type="character" w:styleId="Heading8Char">
    <w:name w:val="Heading 8 Char"/>
    <w:basedOn w:val="DefaultParagraphFont"/>
    <w:link w:val="Heading8"/>
    <w:qFormat/>
    <w:rPr>
      <w:rFonts w:eastAsia="DejaVu Sans" w:cs="DejaVu Sans"/>
      <w:i/>
      <w:iCs/>
      <w:color w:themeColor="dark1" w:themeTint="d8" w:val="272727"/>
    </w:rPr>
  </w:style>
  <w:style w:type="character" w:styleId="Heading9Char">
    <w:name w:val="Heading 9 Char"/>
    <w:basedOn w:val="DefaultParagraphFont"/>
    <w:link w:val="Heading9"/>
    <w:qFormat/>
    <w:rPr>
      <w:rFonts w:eastAsia="DejaVu Sans" w:cs="DejaVu Sans"/>
      <w:color w:themeColor="dark1" w:themeTint="d8" w:val="272727"/>
    </w:rPr>
  </w:style>
  <w:style w:type="character" w:styleId="TitleChar">
    <w:name w:val="Title Char"/>
    <w:basedOn w:val="DefaultParagraphFont"/>
    <w:link w:val="Title"/>
    <w:qFormat/>
    <w:rPr>
      <w:rFonts w:ascii="Aptos Display" w:hAnsi="Aptos Display" w:eastAsia="DejaVu Sans" w:cs="DejaVu Sans"/>
      <w:spacing w:val="-10"/>
      <w:kern w:val="2"/>
      <w:sz w:val="56"/>
      <w:szCs w:val="56"/>
    </w:rPr>
  </w:style>
  <w:style w:type="character" w:styleId="SubtitleChar">
    <w:name w:val="Subtitle Char"/>
    <w:basedOn w:val="DefaultParagraphFont"/>
    <w:link w:val="Subtitle"/>
    <w:qFormat/>
    <w:rPr>
      <w:rFonts w:eastAsia="DejaVu Sans" w:cs="DejaVu Sans"/>
      <w:color w:themeColor="dark1" w:themeTint="a6" w:val="595959"/>
      <w:spacing w:val="15"/>
      <w:sz w:val="28"/>
      <w:szCs w:val="28"/>
    </w:rPr>
  </w:style>
  <w:style w:type="character" w:styleId="IntenseEmphasis">
    <w:name w:val="Intense Emphasis"/>
    <w:basedOn w:val="DefaultParagraphFont"/>
    <w:qFormat/>
    <w:rPr>
      <w:i/>
      <w:iCs/>
      <w:color w:themeColor="accent1" w:themeShade="bf" w:val="0F4761"/>
    </w:rPr>
  </w:style>
  <w:style w:type="character" w:styleId="QuoteChar">
    <w:name w:val="Quote Char"/>
    <w:basedOn w:val="DefaultParagraphFont"/>
    <w:link w:val="Quote"/>
    <w:qFormat/>
    <w:rPr>
      <w:i/>
      <w:iCs/>
      <w:color w:themeColor="dark1" w:themeTint="bf" w:val="404040"/>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otnoteTextChar">
    <w:name w:val="Footnote Text Char"/>
    <w:basedOn w:val="DefaultParagraphFont"/>
    <w:link w:val="FootnoteText"/>
    <w:qFormat/>
    <w:rPr>
      <w:sz w:val="20"/>
      <w:szCs w:val="20"/>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DejaVu Sans"/>
      <w:spacing w:val="-10"/>
      <w:kern w:val="2"/>
      <w:sz w:val="56"/>
      <w:szCs w:val="56"/>
    </w:rPr>
  </w:style>
  <w:style w:type="paragraph" w:styleId="Subtitle">
    <w:name w:val="Subtitle"/>
    <w:basedOn w:val="Normal"/>
    <w:next w:val="Normal"/>
    <w:link w:val="SubtitleChar"/>
    <w:qFormat/>
    <w:pPr/>
    <w:rPr>
      <w:rFonts w:eastAsia="DejaVu Sans"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ootnoteText">
    <w:name w:val="footnote text"/>
    <w:basedOn w:val="Normal"/>
    <w:link w:val="FootnoteTextChar"/>
    <w:pPr>
      <w:spacing w:lineRule="auto" w:line="240" w:before="0" w:after="0"/>
    </w:pPr>
    <w:rPr>
      <w:sz w:val="20"/>
      <w:szCs w:val="20"/>
    </w:rPr>
  </w:style>
  <w:style w:type="paragraph" w:styleId="BlockQuotation">
    <w:name w:val="Block Quotation"/>
    <w:basedOn w:val="Normal"/>
    <w:qFormat/>
    <w:pPr>
      <w:spacing w:before="0" w:after="283"/>
      <w:ind w:hanging="0" w:left="567" w:righ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WenQuanYi Zen Hei Mono" w:cs="Liberation Mono"/>
      <w:sz w:val="20"/>
      <w:szCs w:val="20"/>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kollektivminds/russian-literary-bible" TargetMode="External"/><Relationship Id="rId2" Type="http://schemas.openxmlformats.org/officeDocument/2006/relationships/hyperlink" Target="https://research.yandex.com/publication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861</TotalTime>
  <Application>LibreOffice/24.8.4.2$Linux_X86_64 LibreOffice_project/480$Build-2</Application>
  <AppVersion>15.0000</AppVersion>
  <Pages>15</Pages>
  <Words>3840</Words>
  <Characters>20983</Characters>
  <CharactersWithSpaces>24707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2024-04-26T16:06:42Z</dcterms:created>
  <dc:creator>Thompson, Aaron Michael (amt3ad)</dc:creator>
  <dc:description/>
  <dc:language>en-US</dc:language>
  <cp:lastModifiedBy/>
  <dcterms:modified xsi:type="dcterms:W3CDTF">2025-03-09T04:03:48Z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