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hanging="0"/>
        <w:jc w:val="center"/>
        <w:rPr>
          <w:rFonts w:ascii="Liberation Serif" w:hAnsi="Liberation Serif"/>
          <w:sz w:val="26"/>
          <w:szCs w:val="22"/>
        </w:rPr>
      </w:pPr>
      <w:r>
        <w:rPr>
          <w:rFonts w:eastAsia="Times New Roman" w:cs="Times New Roman" w:ascii="Liberation Serif" w:hAnsi="Liberation Serif"/>
          <w:sz w:val="26"/>
          <w:szCs w:val="22"/>
          <w:u w:val="none"/>
        </w:rPr>
        <w:t>Conclusion:</w:t>
      </w:r>
      <w:r>
        <w:rPr>
          <w:rFonts w:ascii="Liberation Serif" w:hAnsi="Liberation Serif"/>
          <w:sz w:val="26"/>
          <w:szCs w:val="22"/>
        </w:rPr>
        <w:br/>
      </w:r>
      <w:r>
        <w:rPr>
          <w:rFonts w:eastAsia="Times New Roman" w:cs="Times New Roman" w:ascii="Liberation Serif" w:hAnsi="Liberation Serif"/>
          <w:sz w:val="26"/>
          <w:szCs w:val="22"/>
          <w:u w:val="none"/>
        </w:rPr>
        <w:t>An Intermezzo on Capri</w:t>
      </w:r>
    </w:p>
    <w:p>
      <w:pPr>
        <w:pStyle w:val="Normal"/>
        <w:widowControl/>
        <w:suppressAutoHyphens w:val="true"/>
        <w:overflowPunct w:val="true"/>
        <w:bidi w:val="0"/>
        <w:spacing w:lineRule="auto" w:line="276" w:before="0" w:after="160"/>
        <w:ind w:hanging="0" w:left="2880" w:right="0"/>
        <w:jc w:val="right"/>
        <w:rPr>
          <w:rFonts w:ascii="Liberation Serif" w:hAnsi="Liberation Serif"/>
          <w:sz w:val="26"/>
          <w:szCs w:val="22"/>
        </w:rPr>
      </w:pPr>
      <w:r>
        <w:rPr>
          <w:rFonts w:eastAsia="Times New Roman" w:cs="Times New Roman" w:ascii="Liberation Serif" w:hAnsi="Liberation Serif"/>
          <w:b w:val="false"/>
          <w:bCs w:val="false"/>
          <w:i w:val="false"/>
          <w:iCs w:val="false"/>
          <w:sz w:val="26"/>
          <w:szCs w:val="22"/>
          <w:u w:val="none"/>
          <w:lang w:val="en-US"/>
        </w:rPr>
        <w:t>“</w:t>
      </w:r>
      <w:r>
        <w:rPr>
          <w:rFonts w:eastAsia="Times New Roman" w:cs="Times New Roman" w:ascii="Liberation Serif" w:hAnsi="Liberation Serif"/>
          <w:b w:val="false"/>
          <w:bCs w:val="false"/>
          <w:i w:val="false"/>
          <w:iCs w:val="false"/>
          <w:sz w:val="26"/>
          <w:szCs w:val="22"/>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rFonts w:ascii="Liberation Serif" w:hAnsi="Liberation Serif"/>
          <w:sz w:val="26"/>
          <w:szCs w:val="22"/>
        </w:rPr>
        <w:br/>
      </w:r>
      <w:r>
        <w:rPr>
          <w:rFonts w:eastAsia="Times New Roman" w:cs="Times New Roman" w:ascii="Liberation Serif" w:hAnsi="Liberation Serif"/>
          <w:b w:val="false"/>
          <w:bCs w:val="false"/>
          <w:i w:val="false"/>
          <w:iCs w:val="false"/>
          <w:sz w:val="26"/>
          <w:szCs w:val="22"/>
          <w:u w:val="none"/>
          <w:lang w:val="en-US"/>
        </w:rPr>
        <w:t>—Gor’kii, opening words of “Untimely Thoughts,” (1917)</w:t>
      </w:r>
      <w:r>
        <w:rPr>
          <w:rStyle w:val="FootnoteReference"/>
          <w:rFonts w:eastAsia="Times New Roman" w:cs="Times New Roman" w:ascii="Liberation Serif" w:hAnsi="Liberation Serif"/>
          <w:b w:val="false"/>
          <w:bCs w:val="false"/>
          <w:i w:val="false"/>
          <w:iCs w:val="false"/>
          <w:sz w:val="26"/>
          <w:szCs w:val="22"/>
          <w:u w:val="none"/>
          <w:lang w:val="en-US"/>
        </w:rPr>
        <w:footnoteReference w:id="2"/>
      </w:r>
    </w:p>
    <w:p>
      <w:pPr>
        <w:pStyle w:val="Normal"/>
        <w:widowControl/>
        <w:suppressAutoHyphens w:val="true"/>
        <w:overflowPunct w:val="true"/>
        <w:bidi w:val="0"/>
        <w:spacing w:lineRule="auto" w:line="276" w:before="0" w:after="160"/>
        <w:ind w:hanging="0" w:left="2880" w:right="0"/>
        <w:jc w:val="right"/>
        <w:rPr>
          <w:rFonts w:ascii="Liberation Serif" w:hAnsi="Liberation Serif"/>
          <w:sz w:val="26"/>
          <w:szCs w:val="22"/>
        </w:rPr>
      </w:pPr>
      <w:r>
        <w:rPr>
          <w:rFonts w:eastAsia="Times New Roman" w:cs="Times New Roman" w:ascii="Liberation Serif" w:hAnsi="Liberation Serif"/>
          <w:b w:val="false"/>
          <w:bCs w:val="false"/>
          <w:i w:val="false"/>
          <w:iCs w:val="false"/>
          <w:sz w:val="26"/>
          <w:szCs w:val="22"/>
          <w:u w:val="none"/>
          <w:lang w:val="en-US"/>
        </w:rPr>
        <w:t>“</w:t>
      </w:r>
      <w:r>
        <w:rPr>
          <w:rFonts w:eastAsia="Times New Roman" w:cs="Times New Roman" w:ascii="Liberation Serif" w:hAnsi="Liberation Serif"/>
          <w:b w:val="false"/>
          <w:bCs w:val="false"/>
          <w:i w:val="false"/>
          <w:iCs w:val="false"/>
          <w:sz w:val="26"/>
          <w:szCs w:val="22"/>
          <w:u w:val="none"/>
          <w:lang w:val="en-US"/>
        </w:rPr>
        <w:t>The gift of all gifts is the truth... Now the vagabonds are shod, and now the private professors are destitute. Has it indeed become better in Russia? Have the sprouts, transplanted from under the blue Capri sky to the Russian soil, of the Social-Democratic School with Rector Gor’kii at its helm, grown as the conscientious gardener dreamed?..”</w:t>
      </w:r>
      <w:r>
        <w:rPr>
          <w:rFonts w:ascii="Liberation Serif" w:hAnsi="Liberation Serif"/>
          <w:sz w:val="26"/>
          <w:szCs w:val="22"/>
        </w:rPr>
        <w:br/>
      </w:r>
      <w:r>
        <w:rPr>
          <w:rFonts w:eastAsia="Times New Roman" w:cs="Times New Roman" w:ascii="Liberation Serif" w:hAnsi="Liberation Serif"/>
          <w:b w:val="false"/>
          <w:bCs w:val="false"/>
          <w:i w:val="false"/>
          <w:iCs w:val="false"/>
          <w:sz w:val="26"/>
          <w:szCs w:val="22"/>
          <w:u w:val="none"/>
          <w:lang w:val="en-US"/>
        </w:rPr>
        <w:t>–I. I. Aikhenval’d, “Maksim Gor’kii” (1918)</w:t>
      </w:r>
      <w:r>
        <w:rPr>
          <w:rStyle w:val="FootnoteReference"/>
          <w:rFonts w:eastAsia="Times New Roman" w:cs="Times New Roman" w:ascii="Liberation Serif" w:hAnsi="Liberation Serif"/>
          <w:b w:val="false"/>
          <w:bCs w:val="false"/>
          <w:i w:val="false"/>
          <w:iCs w:val="false"/>
          <w:sz w:val="26"/>
          <w:szCs w:val="22"/>
          <w:u w:val="none"/>
          <w:lang w:val="en-US"/>
        </w:rPr>
        <w:footnoteReference w:id="3"/>
      </w:r>
    </w:p>
    <w:p>
      <w:pPr>
        <w:pStyle w:val="Normal"/>
        <w:widowControl/>
        <w:suppressAutoHyphens w:val="true"/>
        <w:overflowPunct w:val="true"/>
        <w:bidi w:val="0"/>
        <w:spacing w:lineRule="auto" w:line="276" w:before="0" w:after="160"/>
        <w:ind w:hanging="0" w:left="2880" w:right="0"/>
        <w:jc w:val="right"/>
        <w:rPr>
          <w:rFonts w:ascii="Liberation Serif" w:hAnsi="Liberation Serif" w:eastAsia="Times New Roman" w:cs="Times New Roman"/>
          <w:b w:val="false"/>
          <w:bCs w:val="false"/>
          <w:i w:val="false"/>
          <w:i w:val="false"/>
          <w:iCs w:val="false"/>
          <w:sz w:val="26"/>
          <w:szCs w:val="22"/>
          <w:u w:val="none"/>
          <w:lang w:val="en-US"/>
        </w:rPr>
      </w:pPr>
      <w:r>
        <w:rPr>
          <w:rFonts w:eastAsia="Times New Roman" w:cs="Times New Roman" w:ascii="Liberation Serif" w:hAnsi="Liberation Serif"/>
          <w:b w:val="false"/>
          <w:bCs w:val="false"/>
          <w:i w:val="false"/>
          <w:iCs w:val="false"/>
          <w:sz w:val="26"/>
          <w:szCs w:val="22"/>
          <w:u w:val="none"/>
          <w:lang w:val="en-US"/>
        </w:rPr>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sz w:val="26"/>
          <w:szCs w:val="22"/>
          <w:u w:val="none"/>
        </w:rPr>
        <w:t xml:space="preserve">Once the October Revolution had taken place, the transpositions Gor’kii had been trying to write into existence could also be realized, but would they? Since </w:t>
      </w:r>
      <w:r>
        <w:rPr>
          <w:rFonts w:eastAsia="Times New Roman" w:cs="Times New Roman" w:ascii="Liberation Serif" w:hAnsi="Liberation Serif"/>
          <w:i/>
          <w:iCs/>
          <w:sz w:val="26"/>
          <w:szCs w:val="22"/>
          <w:u w:val="none"/>
        </w:rPr>
        <w:t>Mother</w:t>
      </w:r>
      <w:r>
        <w:rPr>
          <w:rFonts w:eastAsia="Times New Roman" w:cs="Times New Roman" w:ascii="Liberation Serif" w:hAnsi="Liberation Serif"/>
          <w:i w:val="false"/>
          <w:iCs w:val="false"/>
          <w:sz w:val="26"/>
          <w:szCs w:val="22"/>
          <w:u w:val="none"/>
        </w:rPr>
        <w:t xml:space="preserve">—and likely before—he hoped that when the Empire was no more, the “people of yesterday” would become “new strong individuals,” as Pavel does. As we know in hindsight, however, even if some in the RFSFR and USSR could and would rise to the occasion as Gor’kii wished, the most </w:t>
      </w:r>
      <w:r>
        <w:rPr>
          <w:rFonts w:eastAsia="Times New Roman" w:cs="Times New Roman" w:ascii="Liberation Serif" w:hAnsi="Liberation Serif"/>
          <w:i w:val="false"/>
          <w:iCs w:val="false"/>
          <w:sz w:val="26"/>
          <w:szCs w:val="22"/>
          <w:u w:val="none"/>
        </w:rPr>
        <w:t>powerful</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val="false"/>
          <w:iCs w:val="false"/>
          <w:sz w:val="26"/>
          <w:szCs w:val="22"/>
          <w:u w:val="none"/>
        </w:rPr>
        <w:t>individuals</w:t>
      </w:r>
      <w:r>
        <w:rPr>
          <w:rFonts w:eastAsia="Times New Roman" w:cs="Times New Roman" w:ascii="Liberation Serif" w:hAnsi="Liberation Serif"/>
          <w:i w:val="false"/>
          <w:iCs w:val="false"/>
          <w:sz w:val="26"/>
          <w:szCs w:val="22"/>
          <w:u w:val="none"/>
        </w:rPr>
        <w:t xml:space="preserve"> remained weakened by the “harsh lessons of the past” and thus prone to old ways. </w:t>
      </w:r>
      <w:r>
        <w:rPr>
          <w:rFonts w:eastAsia="Times New Roman" w:cs="Times New Roman" w:ascii="Liberation Serif" w:hAnsi="Liberation Serif"/>
          <w:i/>
          <w:iCs/>
          <w:sz w:val="26"/>
          <w:szCs w:val="22"/>
          <w:u w:val="none"/>
        </w:rPr>
        <w:t>A Revolutionary Gospel</w:t>
      </w:r>
      <w:r>
        <w:rPr>
          <w:rFonts w:eastAsia="Times New Roman" w:cs="Times New Roman" w:ascii="Liberation Serif" w:hAnsi="Liberation Serif"/>
          <w:i w:val="false"/>
          <w:iCs w:val="false"/>
          <w:sz w:val="26"/>
          <w:szCs w:val="22"/>
          <w:u w:val="none"/>
        </w:rPr>
        <w:t>’s first four chapters aim to define the “lessons” to which Gor’kii alludes here, his proclamations of “Truth” based on decades of witnessing history up close and personally. Such is “the gift of all gifts” about which Aikhenval’d wrote: change is possible, but there is no outrunning the past. What is more, people are incurably human. Gor’kii knew th</w:t>
      </w:r>
      <w:r>
        <w:rPr>
          <w:rFonts w:eastAsia="Times New Roman" w:cs="Times New Roman" w:ascii="Liberation Serif" w:hAnsi="Liberation Serif"/>
          <w:i w:val="false"/>
          <w:iCs w:val="false"/>
          <w:sz w:val="26"/>
          <w:szCs w:val="22"/>
          <w:u w:val="none"/>
        </w:rPr>
        <w:t>ese</w:t>
      </w:r>
      <w:r>
        <w:rPr>
          <w:rFonts w:eastAsia="Times New Roman" w:cs="Times New Roman" w:ascii="Liberation Serif" w:hAnsi="Liberation Serif"/>
          <w:i w:val="false"/>
          <w:iCs w:val="false"/>
          <w:sz w:val="26"/>
          <w:szCs w:val="22"/>
          <w:u w:val="none"/>
        </w:rPr>
        <w:t xml:space="preserve"> truth</w:t>
      </w:r>
      <w:r>
        <w:rPr>
          <w:rFonts w:eastAsia="Times New Roman" w:cs="Times New Roman" w:ascii="Liberation Serif" w:hAnsi="Liberation Serif"/>
          <w:i w:val="false"/>
          <w:iCs w:val="false"/>
          <w:sz w:val="26"/>
          <w:szCs w:val="22"/>
          <w:u w:val="none"/>
        </w:rPr>
        <w:t>s</w:t>
      </w:r>
      <w:r>
        <w:rPr>
          <w:rFonts w:eastAsia="Times New Roman" w:cs="Times New Roman" w:ascii="Liberation Serif" w:hAnsi="Liberation Serif"/>
          <w:i w:val="false"/>
          <w:iCs w:val="false"/>
          <w:sz w:val="26"/>
          <w:szCs w:val="22"/>
          <w:u w:val="none"/>
        </w:rPr>
        <w:t xml:space="preserve"> better than most around him, though that did not stop him from trying to fundamentally change human nature. The Capri School and its “sprouts” were to be the new Soviet people Gor’kii had been hoping to sow across the country. Unfortunately, the Russian soil was simply too hostile for these ideas to take root.</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sz w:val="26"/>
          <w:szCs w:val="22"/>
          <w:u w:val="none"/>
        </w:rPr>
        <w:t xml:space="preserve">At the beginning of this investigation, it seemed as though Gor’kii was trying with all his might to divorce Russia’s future from its Orthodox past. However, as I pause at this inflection point, it feels more accurate to say that he was attempting to redirect the Russian Orthodox tradition away from its contemporary trajectory toward something new. In an array of works from small to big, minor to major, prose to drama, we see Gor’kii’s active </w:t>
      </w:r>
      <w:r>
        <w:rPr>
          <w:rFonts w:eastAsia="Times New Roman" w:cs="Times New Roman" w:ascii="Liberation Serif" w:hAnsi="Liberation Serif"/>
          <w:sz w:val="26"/>
          <w:szCs w:val="22"/>
          <w:u w:val="none"/>
        </w:rPr>
        <w:t>and</w:t>
      </w:r>
      <w:r>
        <w:rPr>
          <w:rFonts w:eastAsia="Liberation Serif" w:cs="Liberation Serif" w:ascii="Liberation Serif" w:hAnsi="Liberation Serif"/>
          <w:sz w:val="26"/>
          <w:szCs w:val="22"/>
          <w:u w:val="none"/>
        </w:rPr>
        <w:t>—</w:t>
      </w:r>
      <w:r>
        <w:rPr>
          <w:rFonts w:eastAsia="Times New Roman" w:cs="Times New Roman" w:ascii="Liberation Serif" w:hAnsi="Liberation Serif"/>
          <w:sz w:val="26"/>
          <w:szCs w:val="22"/>
          <w:u w:val="none"/>
        </w:rPr>
        <w:t>crucially</w:t>
      </w:r>
      <w:r>
        <w:rPr>
          <w:rFonts w:eastAsia="Liberation Serif" w:cs="Liberation Serif" w:ascii="Liberation Serif" w:hAnsi="Liberation Serif"/>
          <w:sz w:val="26"/>
          <w:szCs w:val="22"/>
          <w:u w:val="none"/>
        </w:rPr>
        <w:t>—</w:t>
      </w:r>
      <w:r>
        <w:rPr>
          <w:rFonts w:eastAsia="Times New Roman" w:cs="Times New Roman" w:ascii="Liberation Serif" w:hAnsi="Liberation Serif"/>
          <w:sz w:val="26"/>
          <w:szCs w:val="22"/>
          <w:u w:val="none"/>
        </w:rPr>
        <w:t xml:space="preserve">constructive engagement with his own and a collective Orthodox identity. Rather than discarding the religious impulse inherent in humans, he uses the literary medium to reinvigorate people’s spiritual seeking, providing an outlet for enactment of the feeling in the revolutionary cause. In the end, his alternative future, to borrow from Roger Garaudy’s </w:t>
      </w:r>
      <w:r>
        <w:rPr>
          <w:rFonts w:eastAsia="Times New Roman" w:cs="Times New Roman" w:ascii="Liberation Serif" w:hAnsi="Liberation Serif"/>
          <w:i/>
          <w:iCs/>
          <w:sz w:val="26"/>
          <w:szCs w:val="22"/>
          <w:u w:val="none"/>
        </w:rPr>
        <w:t>The Alternative Future: A Vision of Christian Marxism</w:t>
      </w:r>
      <w:r>
        <w:rPr>
          <w:rFonts w:eastAsia="Times New Roman" w:cs="Times New Roman" w:ascii="Liberation Serif" w:hAnsi="Liberation Serif"/>
          <w:sz w:val="26"/>
          <w:szCs w:val="22"/>
          <w:u w:val="none"/>
        </w:rPr>
        <w:t xml:space="preserve">, is as distinctly </w:t>
      </w:r>
      <w:r>
        <w:rPr>
          <w:rFonts w:eastAsia="Times New Roman" w:cs="Times New Roman" w:ascii="Liberation Serif" w:hAnsi="Liberation Serif"/>
          <w:sz w:val="26"/>
          <w:szCs w:val="22"/>
          <w:u w:val="none"/>
        </w:rPr>
        <w:t>divergent</w:t>
      </w:r>
      <w:r>
        <w:rPr>
          <w:rFonts w:eastAsia="Times New Roman" w:cs="Times New Roman" w:ascii="Liberation Serif" w:hAnsi="Liberation Serif"/>
          <w:sz w:val="26"/>
          <w:szCs w:val="22"/>
          <w:u w:val="none"/>
        </w:rPr>
        <w:t xml:space="preserve"> from Orthodoxy as it is distinctly imitative.</w:t>
      </w:r>
      <w:r>
        <w:rPr>
          <w:rStyle w:val="FootnoteReference"/>
          <w:rFonts w:eastAsia="Times New Roman" w:cs="Times New Roman" w:ascii="Liberation Serif" w:hAnsi="Liberation Serif"/>
          <w:sz w:val="26"/>
          <w:szCs w:val="22"/>
          <w:u w:val="none"/>
        </w:rPr>
        <w:footnoteReference w:id="4"/>
      </w:r>
      <w:r>
        <w:rPr>
          <w:rFonts w:eastAsia="Times New Roman" w:cs="Times New Roman" w:ascii="Liberation Serif" w:hAnsi="Liberation Serif"/>
          <w:sz w:val="26"/>
          <w:szCs w:val="22"/>
          <w:u w:val="none"/>
        </w:rPr>
        <w:t xml:space="preserve"> We see not derivative parodies, </w:t>
      </w:r>
      <w:r>
        <w:rPr>
          <w:rFonts w:eastAsia="Times New Roman" w:cs="Times New Roman" w:ascii="Liberation Serif" w:hAnsi="Liberation Serif"/>
          <w:sz w:val="26"/>
          <w:szCs w:val="22"/>
          <w:u w:val="none"/>
        </w:rPr>
        <w:t>as they may first appear,</w:t>
      </w:r>
      <w:r>
        <w:rPr>
          <w:rFonts w:eastAsia="Times New Roman" w:cs="Times New Roman" w:ascii="Liberation Serif" w:hAnsi="Liberation Serif"/>
          <w:sz w:val="26"/>
          <w:szCs w:val="22"/>
          <w:u w:val="none"/>
        </w:rPr>
        <w:t xml:space="preserve"> but ideological continuity from Christianity in “</w:t>
      </w:r>
      <w:r>
        <w:rPr>
          <w:rFonts w:eastAsia="Times New Roman" w:cs="Times New Roman" w:ascii="Liberation Serif" w:hAnsi="Liberation Serif"/>
          <w:sz w:val="26"/>
          <w:szCs w:val="22"/>
          <w:u w:val="none"/>
        </w:rPr>
        <w:t xml:space="preserve">On the Rafts,” </w:t>
      </w:r>
      <w:r>
        <w:rPr>
          <w:rFonts w:eastAsia="Times New Roman" w:cs="Times New Roman" w:ascii="Liberation Serif" w:hAnsi="Liberation Serif"/>
          <w:sz w:val="26"/>
          <w:szCs w:val="22"/>
          <w:u w:val="none"/>
        </w:rPr>
        <w:t xml:space="preserve">“Cain and Artem,” </w:t>
      </w:r>
      <w:r>
        <w:rPr>
          <w:rFonts w:eastAsia="Times New Roman" w:cs="Times New Roman" w:ascii="Liberation Serif" w:hAnsi="Liberation Serif"/>
          <w:i/>
          <w:iCs/>
          <w:sz w:val="26"/>
          <w:szCs w:val="22"/>
          <w:u w:val="none"/>
        </w:rPr>
        <w:t>The Lower Depths</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i/>
          <w:iCs/>
          <w:sz w:val="26"/>
          <w:szCs w:val="22"/>
          <w:u w:val="none"/>
        </w:rPr>
        <w:t>Foma Gordeev</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i/>
          <w:iCs/>
          <w:sz w:val="26"/>
          <w:szCs w:val="22"/>
          <w:u w:val="none"/>
        </w:rPr>
        <w:t>Mother</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sz w:val="26"/>
          <w:szCs w:val="22"/>
          <w:u w:val="none"/>
        </w:rPr>
        <w:t>and</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i/>
          <w:iCs/>
          <w:sz w:val="26"/>
          <w:szCs w:val="22"/>
          <w:u w:val="none"/>
        </w:rPr>
        <w:t>Confession</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sz w:val="26"/>
          <w:szCs w:val="22"/>
          <w:u w:val="none"/>
        </w:rPr>
        <w:t xml:space="preserve">among others in his body of work. Gor’kii’s narod-centric spiritual philosophy </w:t>
      </w:r>
      <w:r>
        <w:rPr>
          <w:rFonts w:eastAsia="Times New Roman" w:cs="Times New Roman" w:ascii="Liberation Serif" w:hAnsi="Liberation Serif"/>
          <w:sz w:val="26"/>
          <w:szCs w:val="22"/>
          <w:u w:val="none"/>
        </w:rPr>
        <w:t xml:space="preserve">is remarkable from past versions in that it takes Christianity to the Russian people in a way no leader, from Vladimir to Nicholas, would be willing to do. </w:t>
      </w:r>
      <w:r>
        <w:rPr>
          <w:rFonts w:eastAsia="Times New Roman" w:cs="Times New Roman" w:ascii="Liberation Serif" w:hAnsi="Liberation Serif"/>
          <w:sz w:val="26"/>
          <w:szCs w:val="22"/>
          <w:u w:val="none"/>
        </w:rPr>
        <w:t>In its noblest moments, t</w:t>
      </w:r>
      <w:r>
        <w:rPr>
          <w:rFonts w:eastAsia="Times New Roman" w:cs="Times New Roman" w:ascii="Liberation Serif" w:hAnsi="Liberation Serif"/>
          <w:sz w:val="26"/>
          <w:szCs w:val="22"/>
          <w:u w:val="none"/>
        </w:rPr>
        <w:t xml:space="preserve">his </w:t>
      </w:r>
      <w:r>
        <w:rPr>
          <w:rFonts w:eastAsia="Times New Roman" w:cs="Times New Roman" w:ascii="Liberation Serif" w:hAnsi="Liberation Serif"/>
          <w:sz w:val="26"/>
          <w:szCs w:val="22"/>
          <w:u w:val="none"/>
        </w:rPr>
        <w:t>faith</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sz w:val="26"/>
          <w:szCs w:val="22"/>
          <w:u w:val="none"/>
        </w:rPr>
        <w:t>puts the Christian God in everyone, discarding divinity and God Himself for dignity and God Ourself.</w:t>
      </w:r>
    </w:p>
    <w:p>
      <w:pPr>
        <w:pStyle w:val="Normal"/>
        <w:suppressLineNumbers w:val="0"/>
        <w:bidi w:val="0"/>
        <w:spacing w:lineRule="auto" w:line="480" w:before="0" w:after="160"/>
        <w:ind w:firstLine="720" w:left="0" w:right="0"/>
        <w:jc w:val="left"/>
        <w:rPr>
          <w:rFonts w:ascii="Liberation Serif" w:hAnsi="Liberation Serif" w:eastAsia="Times New Roman" w:cs="Times New Roman"/>
          <w:sz w:val="26"/>
          <w:szCs w:val="22"/>
          <w:u w:val="none"/>
        </w:rPr>
      </w:pPr>
      <w:r>
        <w:rPr>
          <w:rFonts w:eastAsia="Times New Roman" w:cs="Times New Roman" w:ascii="Liberation Serif" w:hAnsi="Liberation Serif"/>
          <w:i/>
          <w:iCs/>
          <w:sz w:val="26"/>
          <w:szCs w:val="22"/>
          <w:u w:val="none"/>
        </w:rPr>
        <w:t>A Revolutionary Gospel</w:t>
      </w:r>
      <w:r>
        <w:rPr>
          <w:rFonts w:eastAsia="Times New Roman" w:cs="Times New Roman" w:ascii="Liberation Serif" w:hAnsi="Liberation Serif"/>
          <w:i w:val="false"/>
          <w:iCs w:val="false"/>
          <w:sz w:val="26"/>
          <w:szCs w:val="22"/>
          <w:u w:val="none"/>
        </w:rPr>
        <w:t xml:space="preserve"> arose from two suppositions: first, that change, especially radical change, happens gradually and with at least some continuity with the past for the sake of the system under revision; and second, that surely, at least one of the major figures in the early Soviet system understood that first law of nature. The preceding chapters have demonstrated that Gor’kii indeed knew that Russians could not simply start from zero to build a completely new society. His pre-revolutionary literature projects a vision for a renewed foundational narrative to serve Russia after the Romanovs and institutional Orthodoxy. In the body of </w:t>
      </w:r>
      <w:r>
        <w:rPr>
          <w:rFonts w:eastAsia="Times New Roman" w:cs="Times New Roman" w:ascii="Liberation Serif" w:hAnsi="Liberation Serif"/>
          <w:i/>
          <w:iCs/>
          <w:sz w:val="26"/>
          <w:szCs w:val="22"/>
          <w:u w:val="none"/>
        </w:rPr>
        <w:t>A Revolutionary Gospel</w:t>
      </w:r>
      <w:r>
        <w:rPr>
          <w:rFonts w:eastAsia="Times New Roman" w:cs="Times New Roman" w:ascii="Liberation Serif" w:hAnsi="Liberation Serif"/>
          <w:i w:val="false"/>
          <w:iCs w:val="false"/>
          <w:sz w:val="26"/>
          <w:szCs w:val="22"/>
          <w:u w:val="none"/>
        </w:rPr>
        <w:t xml:space="preserve">, I bring to light Gor’kii’s spiritual humanism, a complex web of personal ethics, popular Christianity, political economics, and faith in Russians to evolve on command. My discussion points out how Gor’kii transposed elements of Christian literature, from names to phrases to doctrine to entire books of the Bible, to show his readers a distinct-yet-recognizable post-Christian way of life that could and should be the </w:t>
      </w:r>
      <w:r>
        <w:rPr>
          <w:rFonts w:eastAsia="Times New Roman" w:cs="Times New Roman" w:ascii="Liberation Serif" w:hAnsi="Liberation Serif"/>
          <w:i/>
          <w:iCs/>
          <w:sz w:val="26"/>
          <w:szCs w:val="22"/>
          <w:u w:val="none"/>
        </w:rPr>
        <w:t>narod</w:t>
      </w:r>
      <w:r>
        <w:rPr>
          <w:rFonts w:eastAsia="Times New Roman" w:cs="Times New Roman" w:ascii="Liberation Serif" w:hAnsi="Liberation Serif"/>
          <w:i w:val="false"/>
          <w:iCs w:val="false"/>
          <w:sz w:val="26"/>
          <w:szCs w:val="22"/>
          <w:u w:val="none"/>
        </w:rPr>
        <w:t xml:space="preserve">’s future. Perhaps most importantly, </w:t>
      </w:r>
      <w:r>
        <w:rPr>
          <w:rFonts w:eastAsia="Times New Roman" w:cs="Times New Roman" w:ascii="Liberation Serif" w:hAnsi="Liberation Serif"/>
          <w:i/>
          <w:iCs/>
          <w:sz w:val="26"/>
          <w:szCs w:val="22"/>
          <w:u w:val="none"/>
        </w:rPr>
        <w:t>A Revolutionary Gospel</w:t>
      </w:r>
      <w:r>
        <w:rPr>
          <w:rFonts w:eastAsia="Times New Roman" w:cs="Times New Roman" w:ascii="Liberation Serif" w:hAnsi="Liberation Serif"/>
          <w:i w:val="false"/>
          <w:iCs w:val="false"/>
          <w:sz w:val="26"/>
          <w:szCs w:val="22"/>
          <w:u w:val="none"/>
        </w:rPr>
        <w:t xml:space="preserve"> offers scholars and readers a different, capacious avenue for understanding Gor’kii and his contemporaries. This study takes a heretical approach to analyzing its subject. Gor'kii may not have been outright lying when he called himself an “atheist,” but he was not telling the whole truth. In fact, he believed the </w:t>
      </w:r>
      <w:r>
        <w:rPr>
          <w:rFonts w:eastAsia="Times New Roman" w:cs="Times New Roman" w:ascii="Liberation Serif" w:hAnsi="Liberation Serif"/>
          <w:i/>
          <w:iCs/>
          <w:sz w:val="26"/>
          <w:szCs w:val="22"/>
          <w:u w:val="none"/>
        </w:rPr>
        <w:t>narod</w:t>
      </w:r>
      <w:r>
        <w:rPr>
          <w:rFonts w:eastAsia="Times New Roman" w:cs="Times New Roman" w:ascii="Liberation Serif" w:hAnsi="Liberation Serif"/>
          <w:i w:val="false"/>
          <w:iCs w:val="false"/>
          <w:sz w:val="26"/>
          <w:szCs w:val="22"/>
          <w:u w:val="none"/>
        </w:rPr>
        <w:t xml:space="preserve"> could be God themselves</w:t>
      </w:r>
      <w:r>
        <w:rPr>
          <w:rFonts w:eastAsia="Liberation Serif" w:cs="Liberation Serif" w:ascii="Liberation Serif" w:hAnsi="Liberation Serif"/>
          <w:i w:val="false"/>
          <w:iCs w:val="false"/>
          <w:sz w:val="26"/>
          <w:szCs w:val="22"/>
          <w:u w:val="none"/>
        </w:rPr>
        <w:t>—</w:t>
      </w:r>
      <w:r>
        <w:rPr>
          <w:rFonts w:eastAsia="Times New Roman" w:cs="Times New Roman" w:ascii="Liberation Serif" w:hAnsi="Liberation Serif"/>
          <w:i w:val="false"/>
          <w:iCs w:val="false"/>
          <w:sz w:val="26"/>
          <w:szCs w:val="22"/>
          <w:u w:val="none"/>
        </w:rPr>
        <w:t>if they were up to the task.</w:t>
      </w:r>
    </w:p>
    <w:p>
      <w:pPr>
        <w:pStyle w:val="Normal"/>
        <w:suppressLineNumbers w:val="0"/>
        <w:bidi w:val="0"/>
        <w:spacing w:lineRule="auto" w:line="480" w:before="0" w:after="160"/>
        <w:ind w:firstLine="720" w:left="0" w:right="0"/>
        <w:jc w:val="left"/>
        <w:rPr>
          <w:rFonts w:ascii="Liberation Serif" w:hAnsi="Liberation Serif" w:eastAsia="Times New Roman" w:cs="Times New Roman"/>
          <w:sz w:val="26"/>
          <w:szCs w:val="22"/>
          <w:u w:val="none"/>
        </w:rPr>
      </w:pPr>
      <w:r>
        <w:rPr>
          <w:rFonts w:eastAsia="Times New Roman" w:cs="Times New Roman" w:ascii="Liberation Serif" w:hAnsi="Liberation Serif"/>
          <w:sz w:val="26"/>
          <w:szCs w:val="22"/>
          <w:u w:val="none"/>
        </w:rPr>
        <w:t>Having documented Gor’kii’</w:t>
      </w:r>
      <w:r>
        <w:rPr>
          <w:rFonts w:eastAsia="Times New Roman" w:cs="Times New Roman" w:ascii="Liberation Serif" w:hAnsi="Liberation Serif"/>
          <w:sz w:val="26"/>
          <w:szCs w:val="22"/>
          <w:u w:val="none"/>
        </w:rPr>
        <w:t xml:space="preserve">s </w:t>
      </w:r>
      <w:r>
        <w:rPr>
          <w:rFonts w:eastAsia="Times New Roman" w:cs="Times New Roman" w:ascii="Liberation Serif" w:hAnsi="Liberation Serif"/>
          <w:sz w:val="26"/>
          <w:szCs w:val="22"/>
          <w:u w:val="none"/>
        </w:rPr>
        <w:t>deep concern about people’s spiritual needs, I woul</w:t>
      </w:r>
      <w:r>
        <w:rPr>
          <w:rFonts w:eastAsia="Times New Roman" w:cs="Times New Roman" w:ascii="Liberation Serif" w:hAnsi="Liberation Serif"/>
          <w:sz w:val="26"/>
          <w:szCs w:val="22"/>
          <w:u w:val="none"/>
        </w:rPr>
        <w:t xml:space="preserve">d </w:t>
      </w:r>
      <w:r>
        <w:rPr>
          <w:rFonts w:eastAsia="Times New Roman" w:cs="Times New Roman" w:ascii="Liberation Serif" w:hAnsi="Liberation Serif"/>
          <w:sz w:val="26"/>
          <w:szCs w:val="22"/>
          <w:u w:val="none"/>
        </w:rPr>
        <w:t xml:space="preserve">like to </w:t>
      </w:r>
      <w:r>
        <w:rPr>
          <w:rFonts w:eastAsia="Times New Roman" w:cs="Times New Roman" w:ascii="Liberation Serif" w:hAnsi="Liberation Serif"/>
          <w:sz w:val="26"/>
          <w:szCs w:val="22"/>
          <w:u w:val="none"/>
        </w:rPr>
        <w:t xml:space="preserve">finally </w:t>
      </w:r>
      <w:r>
        <w:rPr>
          <w:rFonts w:eastAsia="Times New Roman" w:cs="Times New Roman" w:ascii="Liberation Serif" w:hAnsi="Liberation Serif"/>
          <w:sz w:val="26"/>
          <w:szCs w:val="22"/>
          <w:u w:val="none"/>
        </w:rPr>
        <w:t xml:space="preserve">suggest that he went on to spread that concern to other revolutionary writers and, to the extent that he could, to Bolshevik cultural politics. Archival research done in June 2023 in Italy lends insight into Gor’kii’s intentions and actions following Bloody Sunday </w:t>
      </w:r>
      <w:r>
        <w:rPr>
          <w:rFonts w:eastAsia="Times New Roman" w:cs="Times New Roman" w:ascii="Liberation Serif" w:hAnsi="Liberation Serif"/>
          <w:sz w:val="26"/>
          <w:szCs w:val="22"/>
          <w:u w:val="none"/>
        </w:rPr>
        <w:t>as he evaded the eyes of the Russian Imperial Guard</w:t>
      </w:r>
      <w:r>
        <w:rPr>
          <w:rFonts w:eastAsia="Liberation Serif" w:cs="Liberation Serif" w:ascii="Liberation Serif" w:hAnsi="Liberation Serif"/>
          <w:sz w:val="26"/>
          <w:szCs w:val="22"/>
          <w:u w:val="none"/>
        </w:rPr>
        <w:t>—</w:t>
      </w:r>
      <w:r>
        <w:rPr>
          <w:rFonts w:eastAsia="Times New Roman" w:cs="Times New Roman" w:ascii="Liberation Serif" w:hAnsi="Liberation Serif"/>
          <w:sz w:val="26"/>
          <w:szCs w:val="22"/>
          <w:u w:val="none"/>
        </w:rPr>
        <w:t>and fell under those of the Italian authorities</w:t>
      </w:r>
      <w:r>
        <w:rPr>
          <w:rFonts w:eastAsia="Times New Roman" w:cs="Times New Roman" w:ascii="Liberation Serif" w:hAnsi="Liberation Serif"/>
          <w:sz w:val="26"/>
          <w:szCs w:val="22"/>
          <w:u w:val="none"/>
        </w:rPr>
        <w:t xml:space="preserve">. </w:t>
      </w:r>
      <w:r>
        <w:rPr>
          <w:rFonts w:eastAsia="Times New Roman" w:cs="Times New Roman" w:ascii="Liberation Serif" w:hAnsi="Liberation Serif"/>
          <w:sz w:val="26"/>
          <w:szCs w:val="22"/>
          <w:u w:val="none"/>
        </w:rPr>
        <w:t xml:space="preserve">During that time, he mentored dozens of up-and-coming authors as a part of the Capri School and many more after the school doors were closed. </w:t>
      </w:r>
      <w:r>
        <w:rPr>
          <w:rFonts w:eastAsia="Times New Roman" w:cs="Times New Roman" w:ascii="Liberation Serif" w:hAnsi="Liberation Serif"/>
          <w:sz w:val="26"/>
          <w:szCs w:val="22"/>
          <w:u w:val="none"/>
        </w:rPr>
        <w:t xml:space="preserve">With additional analysis of </w:t>
      </w:r>
      <w:r>
        <w:rPr>
          <w:rFonts w:eastAsia="Times New Roman" w:cs="Times New Roman" w:ascii="Liberation Serif" w:hAnsi="Liberation Serif"/>
          <w:sz w:val="26"/>
          <w:szCs w:val="22"/>
          <w:u w:val="none"/>
        </w:rPr>
        <w:t>works by writers who studied under Gor’kii on Capri</w:t>
      </w:r>
      <w:r>
        <w:rPr>
          <w:rFonts w:eastAsia="Times New Roman" w:cs="Times New Roman" w:ascii="Liberation Serif" w:hAnsi="Liberation Serif"/>
          <w:sz w:val="26"/>
          <w:szCs w:val="22"/>
          <w:u w:val="none"/>
        </w:rPr>
        <w:t xml:space="preserve">, I show </w:t>
      </w:r>
      <w:r>
        <w:rPr>
          <w:rFonts w:eastAsia="Times New Roman" w:cs="Times New Roman" w:ascii="Liberation Serif" w:hAnsi="Liberation Serif"/>
          <w:sz w:val="26"/>
          <w:szCs w:val="22"/>
          <w:u w:val="none"/>
        </w:rPr>
        <w:t>in my concluding pages</w:t>
      </w:r>
      <w:r>
        <w:rPr>
          <w:rFonts w:eastAsia="Times New Roman" w:cs="Times New Roman" w:ascii="Liberation Serif" w:hAnsi="Liberation Serif"/>
          <w:sz w:val="26"/>
          <w:szCs w:val="22"/>
          <w:u w:val="none"/>
        </w:rPr>
        <w:t xml:space="preserve"> how the spirit of his post-Christian transpositions continued in the works of Il’ia Surguchёv (1881</w:t>
      </w:r>
      <w:r>
        <w:rPr>
          <w:rFonts w:eastAsia="Liberation Serif" w:cs="Liberation Serif" w:ascii="Liberation Serif" w:hAnsi="Liberation Serif"/>
          <w:sz w:val="26"/>
          <w:szCs w:val="22"/>
          <w:u w:val="none"/>
        </w:rPr>
        <w:t>‒</w:t>
      </w:r>
      <w:r>
        <w:rPr>
          <w:rFonts w:eastAsia="Times New Roman" w:cs="Times New Roman" w:ascii="Liberation Serif" w:hAnsi="Liberation Serif"/>
          <w:sz w:val="26"/>
          <w:szCs w:val="22"/>
          <w:u w:val="none"/>
        </w:rPr>
        <w:t>1956), Ivan Vol’nov (1885</w:t>
      </w:r>
      <w:r>
        <w:rPr>
          <w:rFonts w:eastAsia="Liberation Serif" w:cs="Liberation Serif" w:ascii="Liberation Serif" w:hAnsi="Liberation Serif"/>
          <w:sz w:val="26"/>
          <w:szCs w:val="22"/>
          <w:u w:val="none"/>
        </w:rPr>
        <w:t>‒</w:t>
      </w:r>
      <w:r>
        <w:rPr>
          <w:rFonts w:eastAsia="Times New Roman" w:cs="Times New Roman" w:ascii="Liberation Serif" w:hAnsi="Liberation Serif"/>
          <w:sz w:val="26"/>
          <w:szCs w:val="22"/>
          <w:u w:val="none"/>
        </w:rPr>
        <w:t>1931), and Aleksei Zolotarёv (1879</w:t>
      </w:r>
      <w:r>
        <w:rPr>
          <w:rFonts w:eastAsia="Liberation Serif" w:cs="Liberation Serif" w:ascii="Liberation Serif" w:hAnsi="Liberation Serif"/>
          <w:sz w:val="26"/>
          <w:szCs w:val="22"/>
          <w:u w:val="none"/>
        </w:rPr>
        <w:t>‒</w:t>
      </w:r>
      <w:r>
        <w:rPr>
          <w:rFonts w:eastAsia="Times New Roman" w:cs="Times New Roman" w:ascii="Liberation Serif" w:hAnsi="Liberation Serif"/>
          <w:sz w:val="26"/>
          <w:szCs w:val="22"/>
          <w:u w:val="none"/>
        </w:rPr>
        <w:t xml:space="preserve">1950), </w:t>
      </w:r>
      <w:r>
        <w:rPr>
          <w:rFonts w:eastAsia="Times New Roman" w:cs="Times New Roman" w:ascii="Liberation Serif" w:hAnsi="Liberation Serif"/>
          <w:sz w:val="26"/>
          <w:szCs w:val="22"/>
          <w:u w:val="none"/>
        </w:rPr>
        <w:t>and Aleksei Novikov-Priboi (1877</w:t>
      </w:r>
      <w:r>
        <w:rPr>
          <w:rFonts w:eastAsia="Liberation Serif" w:cs="Liberation Serif" w:ascii="Liberation Serif" w:hAnsi="Liberation Serif"/>
          <w:sz w:val="26"/>
          <w:szCs w:val="22"/>
          <w:u w:val="none"/>
        </w:rPr>
        <w:t>‒1944)</w:t>
      </w:r>
      <w:r>
        <w:rPr>
          <w:rFonts w:eastAsia="Times New Roman" w:cs="Times New Roman" w:ascii="Liberation Serif" w:hAnsi="Liberation Serif"/>
          <w:sz w:val="26"/>
          <w:szCs w:val="22"/>
          <w:u w:val="none"/>
        </w:rPr>
        <w:t>. Finally, I suggest what likely became of this trend in Gor’kii’s later career, including in his work with the People’s Education Commissariat and the Soviet Writer’s Union. As we have seen, though not always visible on the surface, the religious humanism that burned in Gor’kii’s heart and mind after Bloody Sunday was never fully extinguished even in his final years.</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 xml:space="preserve">Despite the </w:t>
      </w:r>
      <w:r>
        <w:rPr>
          <w:rFonts w:eastAsia="Times New Roman" w:cs="Times New Roman" w:ascii="Liberation Serif" w:hAnsi="Liberation Serif"/>
          <w:i w:val="false"/>
          <w:iCs w:val="false"/>
          <w:sz w:val="26"/>
          <w:szCs w:val="22"/>
          <w:u w:val="none"/>
        </w:rPr>
        <w:t>Capri S</w:t>
      </w:r>
      <w:r>
        <w:rPr>
          <w:rFonts w:eastAsia="Times New Roman" w:cs="Times New Roman" w:ascii="Liberation Serif" w:hAnsi="Liberation Serif"/>
          <w:i w:val="false"/>
          <w:iCs w:val="false"/>
          <w:sz w:val="26"/>
          <w:szCs w:val="22"/>
          <w:u w:val="none"/>
        </w:rPr>
        <w:t xml:space="preserve">chool’s ephemeral existence, it had lasting effects </w:t>
      </w:r>
      <w:r>
        <w:rPr>
          <w:rFonts w:eastAsia="Times New Roman" w:cs="Times New Roman" w:ascii="Liberation Serif" w:hAnsi="Liberation Serif"/>
          <w:i w:val="false"/>
          <w:iCs w:val="false"/>
          <w:sz w:val="26"/>
          <w:szCs w:val="22"/>
          <w:u w:val="none"/>
        </w:rPr>
        <w:t>on him and his thinking, not to mention the Bolshevik Party and revolutionary movement more broadly</w:t>
      </w:r>
      <w:r>
        <w:rPr>
          <w:rFonts w:eastAsia="Times New Roman" w:cs="Times New Roman" w:ascii="Liberation Serif" w:hAnsi="Liberation Serif"/>
          <w:i w:val="false"/>
          <w:iCs w:val="false"/>
          <w:sz w:val="26"/>
          <w:szCs w:val="22"/>
          <w:u w:val="none"/>
        </w:rPr>
        <w:t>.</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val="false"/>
          <w:iCs w:val="false"/>
          <w:sz w:val="26"/>
          <w:szCs w:val="22"/>
          <w:u w:val="none"/>
        </w:rPr>
        <w:t>T</w:t>
      </w:r>
      <w:r>
        <w:rPr>
          <w:rFonts w:eastAsia="Times New Roman" w:cs="Times New Roman" w:ascii="Liberation Serif" w:hAnsi="Liberation Serif"/>
          <w:i w:val="false"/>
          <w:iCs w:val="false"/>
          <w:sz w:val="26"/>
          <w:szCs w:val="22"/>
          <w:u w:val="none"/>
        </w:rPr>
        <w:t xml:space="preserve">he school itself lasted only </w:t>
      </w:r>
      <w:r>
        <w:rPr>
          <w:rFonts w:eastAsia="Times New Roman" w:cs="Times New Roman" w:ascii="Liberation Serif" w:hAnsi="Liberation Serif"/>
          <w:i w:val="false"/>
          <w:iCs w:val="false"/>
          <w:sz w:val="26"/>
          <w:szCs w:val="22"/>
          <w:u w:val="none"/>
        </w:rPr>
        <w:t>a total of a few days shy of five</w:t>
      </w:r>
      <w:r>
        <w:rPr>
          <w:rFonts w:eastAsia="Times New Roman" w:cs="Times New Roman" w:ascii="Liberation Serif" w:hAnsi="Liberation Serif"/>
          <w:i w:val="false"/>
          <w:iCs w:val="false"/>
          <w:sz w:val="26"/>
          <w:szCs w:val="22"/>
          <w:u w:val="none"/>
        </w:rPr>
        <w:t xml:space="preserve"> months, from July 2</w:t>
      </w:r>
      <w:r>
        <w:rPr>
          <w:rFonts w:eastAsia="Times New Roman" w:cs="Times New Roman" w:ascii="Liberation Serif" w:hAnsi="Liberation Serif"/>
          <w:i w:val="false"/>
          <w:iCs w:val="false"/>
          <w:sz w:val="26"/>
          <w:szCs w:val="22"/>
          <w:u w:val="none"/>
        </w:rPr>
        <w:t>4</w:t>
      </w:r>
      <w:r>
        <w:rPr>
          <w:rFonts w:eastAsia="Times New Roman" w:cs="Times New Roman" w:ascii="Liberation Serif" w:hAnsi="Liberation Serif"/>
          <w:i w:val="false"/>
          <w:iCs w:val="false"/>
          <w:sz w:val="26"/>
          <w:szCs w:val="22"/>
          <w:u w:val="none"/>
        </w:rPr>
        <w:t xml:space="preserve"> to December </w:t>
      </w:r>
      <w:r>
        <w:rPr>
          <w:rFonts w:eastAsia="Times New Roman" w:cs="Times New Roman" w:ascii="Liberation Serif" w:hAnsi="Liberation Serif"/>
          <w:i w:val="false"/>
          <w:iCs w:val="false"/>
          <w:sz w:val="26"/>
          <w:szCs w:val="22"/>
          <w:u w:val="none"/>
        </w:rPr>
        <w:t>20</w:t>
      </w:r>
      <w:r>
        <w:rPr>
          <w:rFonts w:eastAsia="Times New Roman" w:cs="Times New Roman" w:ascii="Liberation Serif" w:hAnsi="Liberation Serif"/>
          <w:i w:val="false"/>
          <w:iCs w:val="false"/>
          <w:sz w:val="26"/>
          <w:szCs w:val="22"/>
          <w:u w:val="none"/>
        </w:rPr>
        <w:t xml:space="preserve">, 1909 </w:t>
      </w:r>
      <w:r>
        <w:rPr>
          <w:rFonts w:eastAsia="Times New Roman" w:cs="Times New Roman" w:ascii="Liberation Serif" w:hAnsi="Liberation Serif"/>
          <w:i w:val="false"/>
          <w:iCs w:val="false"/>
          <w:sz w:val="26"/>
          <w:szCs w:val="22"/>
          <w:u w:val="none"/>
        </w:rPr>
        <w:t>[N.S.],</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val="false"/>
          <w:iCs w:val="false"/>
          <w:sz w:val="26"/>
          <w:szCs w:val="22"/>
          <w:u w:val="none"/>
        </w:rPr>
        <w:t>and was thus a minor moment relative to Gor’kii’s decades in Italy</w:t>
      </w:r>
      <w:r>
        <w:rPr>
          <w:rFonts w:eastAsia="Times New Roman" w:cs="Times New Roman" w:ascii="Liberation Serif" w:hAnsi="Liberation Serif"/>
          <w:i w:val="false"/>
          <w:iCs w:val="false"/>
          <w:sz w:val="26"/>
          <w:szCs w:val="22"/>
          <w:u w:val="none"/>
        </w:rPr>
        <w:t>.</w:t>
      </w:r>
      <w:r>
        <w:rPr>
          <w:rStyle w:val="FootnoteReference"/>
          <w:rFonts w:eastAsia="Times New Roman" w:cs="Times New Roman" w:ascii="Liberation Serif" w:hAnsi="Liberation Serif"/>
          <w:i w:val="false"/>
          <w:iCs w:val="false"/>
          <w:sz w:val="26"/>
          <w:szCs w:val="22"/>
          <w:u w:val="none"/>
        </w:rPr>
        <w:footnoteReference w:id="5"/>
      </w:r>
      <w:r>
        <w:rPr>
          <w:rFonts w:eastAsia="Times New Roman" w:cs="Times New Roman" w:ascii="Liberation Serif" w:hAnsi="Liberation Serif"/>
          <w:i w:val="false"/>
          <w:iCs w:val="false"/>
          <w:sz w:val="26"/>
          <w:szCs w:val="22"/>
          <w:u w:val="none"/>
        </w:rPr>
        <w:t xml:space="preserve"> The exact nature of the Capri School curriculum is debatable, as nothing discovered </w:t>
      </w:r>
      <w:r>
        <w:rPr>
          <w:rFonts w:eastAsia="Times New Roman" w:cs="Times New Roman" w:ascii="Liberation Serif" w:hAnsi="Liberation Serif"/>
          <w:i w:val="false"/>
          <w:iCs w:val="false"/>
          <w:sz w:val="26"/>
          <w:szCs w:val="22"/>
          <w:u w:val="none"/>
        </w:rPr>
        <w:t xml:space="preserve">attests </w:t>
      </w:r>
      <w:r>
        <w:rPr>
          <w:rFonts w:eastAsia="Times New Roman" w:cs="Times New Roman" w:ascii="Liberation Serif" w:hAnsi="Liberation Serif"/>
          <w:i w:val="false"/>
          <w:iCs w:val="false"/>
          <w:sz w:val="26"/>
          <w:szCs w:val="22"/>
          <w:u w:val="none"/>
        </w:rPr>
        <w:t xml:space="preserve">to </w:t>
      </w:r>
      <w:r>
        <w:rPr>
          <w:rFonts w:eastAsia="Times New Roman" w:cs="Times New Roman" w:ascii="Liberation Serif" w:hAnsi="Liberation Serif"/>
          <w:i w:val="false"/>
          <w:iCs w:val="false"/>
          <w:sz w:val="26"/>
          <w:szCs w:val="22"/>
          <w:u w:val="none"/>
        </w:rPr>
        <w:t xml:space="preserve">precisely </w:t>
      </w:r>
      <w:r>
        <w:rPr>
          <w:rFonts w:eastAsia="Times New Roman" w:cs="Times New Roman" w:ascii="Liberation Serif" w:hAnsi="Liberation Serif"/>
          <w:i w:val="false"/>
          <w:iCs w:val="false"/>
          <w:sz w:val="26"/>
          <w:szCs w:val="22"/>
          <w:u w:val="none"/>
        </w:rPr>
        <w:t xml:space="preserve">what Gor’kii was </w:t>
      </w:r>
      <w:r>
        <w:rPr>
          <w:rFonts w:eastAsia="Times New Roman" w:cs="Times New Roman" w:ascii="Liberation Serif" w:hAnsi="Liberation Serif"/>
          <w:i w:val="false"/>
          <w:iCs w:val="false"/>
          <w:sz w:val="26"/>
          <w:szCs w:val="22"/>
          <w:u w:val="none"/>
        </w:rPr>
        <w:t>organizing</w:t>
      </w:r>
      <w:r>
        <w:rPr>
          <w:rFonts w:eastAsia="Times New Roman" w:cs="Times New Roman" w:ascii="Liberation Serif" w:hAnsi="Liberation Serif"/>
          <w:i w:val="false"/>
          <w:iCs w:val="false"/>
          <w:sz w:val="26"/>
          <w:szCs w:val="22"/>
          <w:u w:val="none"/>
        </w:rPr>
        <w:t xml:space="preserve"> on Capri. Archival materials provide information, however, on the curriculum of a similar program, the Bologna Workers' School run by Lunacharskii, which received </w:t>
      </w:r>
      <w:commentRangeStart w:id="0"/>
      <w:r>
        <w:rPr>
          <w:rFonts w:eastAsia="Times New Roman" w:cs="Times New Roman" w:ascii="Liberation Serif" w:hAnsi="Liberation Serif"/>
          <w:i w:val="false"/>
          <w:iCs w:val="false"/>
          <w:sz w:val="26"/>
          <w:szCs w:val="22"/>
          <w:u w:val="none"/>
        </w:rPr>
        <w:t>Lenin’s continuing support</w:t>
      </w:r>
      <w:r>
        <w:rPr>
          <w:rFonts w:eastAsia="Times New Roman" w:cs="Times New Roman" w:ascii="Liberation Serif" w:hAnsi="Liberation Serif"/>
          <w:i w:val="false"/>
          <w:iCs w:val="false"/>
          <w:sz w:val="26"/>
          <w:szCs w:val="22"/>
          <w:u w:val="none"/>
        </w:rPr>
      </w:r>
      <w:commentRangeEnd w:id="0"/>
      <w:r>
        <w:commentReference w:id="0"/>
      </w:r>
      <w:r>
        <w:rPr>
          <w:rFonts w:eastAsia="Times New Roman" w:cs="Times New Roman" w:ascii="Liberation Serif" w:hAnsi="Liberation Serif"/>
          <w:i w:val="false"/>
          <w:iCs w:val="false"/>
          <w:sz w:val="26"/>
          <w:szCs w:val="22"/>
          <w:u w:val="none"/>
        </w:rPr>
        <w:t>. These courses included “Political Economics” (taught by Bogdanov), “The History of Russian Literature and the Workers Movement in the West” (taught by Lunacharskii), “The Woman Question and the Finnish Question" (taught by Aleksandra Kollontai, revolutionary and wife of Lenin), and “Practical Occupations, Propaganda, Agitation, Etc.” (taught by Andrei Sokolov).</w:t>
      </w:r>
      <w:r>
        <w:rPr>
          <w:rStyle w:val="FootnoteReference"/>
          <w:rFonts w:eastAsia="Times New Roman" w:cs="Times New Roman" w:ascii="Liberation Serif" w:hAnsi="Liberation Serif"/>
          <w:i w:val="false"/>
          <w:iCs w:val="false"/>
          <w:sz w:val="26"/>
          <w:szCs w:val="22"/>
          <w:u w:val="none"/>
        </w:rPr>
        <w:footnoteReference w:id="6"/>
      </w:r>
      <w:r>
        <w:rPr>
          <w:rFonts w:eastAsia="Times New Roman" w:cs="Times New Roman" w:ascii="Liberation Serif" w:hAnsi="Liberation Serif"/>
          <w:i w:val="false"/>
          <w:iCs w:val="false"/>
          <w:sz w:val="26"/>
          <w:szCs w:val="22"/>
          <w:u w:val="none"/>
        </w:rPr>
        <w:t xml:space="preserve"> Rather, what remains from Gor’kii’s Capri School is a police record of a propaganda campaign advocating for a Russian democratic republic.</w:t>
      </w:r>
      <w:r>
        <w:rPr>
          <w:rStyle w:val="FootnoteReference"/>
          <w:rFonts w:eastAsia="Times New Roman" w:cs="Times New Roman" w:ascii="Liberation Serif" w:hAnsi="Liberation Serif"/>
          <w:i w:val="false"/>
          <w:iCs w:val="false"/>
          <w:sz w:val="26"/>
          <w:szCs w:val="22"/>
          <w:u w:val="none"/>
        </w:rPr>
        <w:footnoteReference w:id="7"/>
      </w:r>
      <w:r>
        <w:rPr>
          <w:rFonts w:eastAsia="Times New Roman" w:cs="Times New Roman" w:ascii="Liberation Serif" w:hAnsi="Liberation Serif"/>
          <w:i w:val="false"/>
          <w:iCs w:val="false"/>
          <w:sz w:val="26"/>
          <w:szCs w:val="22"/>
          <w:u w:val="none"/>
        </w:rPr>
        <w:t xml:space="preserve"> One may extrapolate from this information</w:t>
      </w:r>
      <w:r>
        <w:rPr>
          <w:rFonts w:eastAsia="Liberation Serif" w:cs="Liberation Serif" w:ascii="Liberation Serif" w:hAnsi="Liberation Serif"/>
          <w:i w:val="false"/>
          <w:iCs w:val="false"/>
          <w:sz w:val="26"/>
          <w:szCs w:val="22"/>
          <w:u w:val="none"/>
        </w:rPr>
        <w:t>—</w:t>
      </w:r>
      <w:r>
        <w:rPr>
          <w:rFonts w:eastAsia="Times New Roman" w:cs="Times New Roman" w:ascii="Liberation Serif" w:hAnsi="Liberation Serif"/>
          <w:i w:val="false"/>
          <w:iCs w:val="false"/>
          <w:sz w:val="26"/>
          <w:szCs w:val="22"/>
          <w:u w:val="none"/>
        </w:rPr>
        <w:t>as well as from the fact that much else surrounding the School seems to have been destroyed</w:t>
      </w:r>
      <w:r>
        <w:rPr>
          <w:rFonts w:eastAsia="Liberation Serif" w:cs="Liberation Serif" w:ascii="Liberation Serif" w:hAnsi="Liberation Serif"/>
          <w:i w:val="false"/>
          <w:iCs w:val="false"/>
          <w:sz w:val="26"/>
          <w:szCs w:val="22"/>
          <w:u w:val="none"/>
        </w:rPr>
        <w:t>—</w:t>
      </w:r>
      <w:r>
        <w:rPr>
          <w:rFonts w:eastAsia="Times New Roman" w:cs="Times New Roman" w:ascii="Liberation Serif" w:hAnsi="Liberation Serif"/>
          <w:i w:val="false"/>
          <w:iCs w:val="false"/>
          <w:sz w:val="26"/>
          <w:szCs w:val="22"/>
          <w:u w:val="none"/>
        </w:rPr>
        <w:t xml:space="preserve">that Gor’kii was taking advantage of the distance afforded by the Italian island to conduct classes his own transpositional way. Despite the fact so little is left in the official record from the Capri School, we may nevertheless learn more from the unofficial record: the students of the </w:t>
      </w:r>
      <w:r>
        <w:rPr>
          <w:rFonts w:eastAsia="Times New Roman" w:cs="Times New Roman" w:ascii="Liberation Serif" w:hAnsi="Liberation Serif"/>
          <w:i w:val="false"/>
          <w:iCs w:val="false"/>
          <w:sz w:val="26"/>
          <w:szCs w:val="22"/>
          <w:u w:val="none"/>
        </w:rPr>
        <w:t>s</w:t>
      </w:r>
      <w:r>
        <w:rPr>
          <w:rFonts w:eastAsia="Times New Roman" w:cs="Times New Roman" w:ascii="Liberation Serif" w:hAnsi="Liberation Serif"/>
          <w:i w:val="false"/>
          <w:iCs w:val="false"/>
          <w:sz w:val="26"/>
          <w:szCs w:val="22"/>
          <w:u w:val="none"/>
        </w:rPr>
        <w:t>chool who studied directly under Gor'kii to become talented writers in their own right.</w:t>
      </w:r>
    </w:p>
    <w:p>
      <w:pPr>
        <w:pStyle w:val="Normal"/>
        <w:suppressLineNumbers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 xml:space="preserve">Not every visitor to Capri is recorded, but there is a small number of other writers’ works attributable directly to Gor’kii’s mentorship on the island. The purpose of the following section, thus, is to establish for future research that Gor’kii used his time during and after the Capri School to teach others the post-Christian philosophy and </w:t>
      </w:r>
      <w:r>
        <w:rPr>
          <w:rFonts w:eastAsia="Times New Roman" w:cs="Times New Roman" w:ascii="Liberation Serif" w:hAnsi="Liberation Serif"/>
          <w:i w:val="false"/>
          <w:iCs w:val="false"/>
          <w:sz w:val="26"/>
          <w:szCs w:val="22"/>
          <w:u w:val="none"/>
        </w:rPr>
        <w:t xml:space="preserve">transposition </w:t>
      </w:r>
      <w:r>
        <w:rPr>
          <w:rFonts w:eastAsia="Times New Roman" w:cs="Times New Roman" w:ascii="Liberation Serif" w:hAnsi="Liberation Serif"/>
          <w:i w:val="false"/>
          <w:iCs w:val="false"/>
          <w:sz w:val="26"/>
          <w:szCs w:val="22"/>
          <w:u w:val="none"/>
        </w:rPr>
        <w:t xml:space="preserve">method at the center of the current study. My aim is therefore to seek further avenues of investigation into both the nature and purpose of such spiritual thinking resulting from Gor’kii’s search for a moral post-Christian future society. While each of these authors addresses social ailments in their own way, their time spent with Gor'kii and a common search to make use of the past, rather than simply throw it away, unites them. I follow the throughline from Gor’kii’s thinking to the works of Il’ia Surguchёv, Ivan Vol’nov, Aleksei Zolotarёv, </w:t>
      </w:r>
      <w:r>
        <w:rPr>
          <w:rFonts w:eastAsia="Times New Roman" w:cs="Times New Roman" w:ascii="Liberation Serif" w:hAnsi="Liberation Serif"/>
          <w:i w:val="false"/>
          <w:iCs w:val="false"/>
          <w:sz w:val="26"/>
          <w:szCs w:val="22"/>
          <w:u w:val="none"/>
        </w:rPr>
        <w:t xml:space="preserve">and Aleksei </w:t>
      </w:r>
      <w:r>
        <w:rPr>
          <w:rFonts w:eastAsia="Times New Roman" w:cs="Times New Roman" w:ascii="Liberation Serif" w:hAnsi="Liberation Serif"/>
          <w:i w:val="false"/>
          <w:iCs w:val="false"/>
          <w:sz w:val="26"/>
          <w:szCs w:val="22"/>
          <w:u w:val="none"/>
        </w:rPr>
        <w:t>Novikov-Priboi</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val="false"/>
          <w:iCs w:val="false"/>
          <w:sz w:val="26"/>
          <w:szCs w:val="22"/>
          <w:u w:val="none"/>
        </w:rPr>
        <w:t xml:space="preserve">that were begun, developed, and or finished on Capri in consultation with Gor’kii in 1909–13. These works form a second generation of post-Christian transpositions elevating the common Russian to the role of liberator of the </w:t>
      </w:r>
      <w:r>
        <w:rPr>
          <w:rFonts w:eastAsia="Times New Roman" w:cs="Times New Roman" w:ascii="Liberation Serif" w:hAnsi="Liberation Serif"/>
          <w:i/>
          <w:iCs/>
          <w:sz w:val="26"/>
          <w:szCs w:val="22"/>
          <w:u w:val="none"/>
        </w:rPr>
        <w:t>narod</w:t>
      </w:r>
      <w:r>
        <w:rPr>
          <w:rFonts w:eastAsia="Times New Roman" w:cs="Times New Roman" w:ascii="Liberation Serif" w:hAnsi="Liberation Serif"/>
          <w:i w:val="false"/>
          <w:iCs w:val="false"/>
          <w:sz w:val="26"/>
          <w:szCs w:val="22"/>
          <w:u w:val="none"/>
        </w:rPr>
        <w:t xml:space="preserve"> from a morally bankrupt ruling class. </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 xml:space="preserve">The </w:t>
      </w:r>
      <w:r>
        <w:rPr>
          <w:rFonts w:eastAsia="Times New Roman" w:cs="Times New Roman" w:ascii="Liberation Serif" w:hAnsi="Liberation Serif"/>
          <w:i w:val="false"/>
          <w:iCs w:val="false"/>
          <w:sz w:val="26"/>
          <w:szCs w:val="22"/>
          <w:u w:val="none"/>
        </w:rPr>
        <w:t>first</w:t>
      </w:r>
      <w:r>
        <w:rPr>
          <w:rFonts w:eastAsia="Times New Roman" w:cs="Times New Roman" w:ascii="Liberation Serif" w:hAnsi="Liberation Serif"/>
          <w:i w:val="false"/>
          <w:iCs w:val="false"/>
          <w:sz w:val="26"/>
          <w:szCs w:val="22"/>
          <w:u w:val="none"/>
        </w:rPr>
        <w:t xml:space="preserve"> of Gor’kii’s visitors was Aleks</w:t>
      </w:r>
      <w:r>
        <w:rPr>
          <w:rFonts w:eastAsia="Times New Roman" w:cs="Times New Roman" w:ascii="Liberation Serif" w:hAnsi="Liberation Serif"/>
          <w:i w:val="false"/>
          <w:iCs w:val="false"/>
          <w:sz w:val="26"/>
          <w:szCs w:val="22"/>
          <w:u w:val="none"/>
        </w:rPr>
        <w:t>ei</w:t>
      </w:r>
      <w:r>
        <w:rPr>
          <w:rFonts w:eastAsia="Times New Roman" w:cs="Times New Roman" w:ascii="Liberation Serif" w:hAnsi="Liberation Serif"/>
          <w:i w:val="false"/>
          <w:iCs w:val="false"/>
          <w:sz w:val="26"/>
          <w:szCs w:val="22"/>
          <w:u w:val="none"/>
        </w:rPr>
        <w:t xml:space="preserve"> Aleks</w:t>
      </w:r>
      <w:r>
        <w:rPr>
          <w:rFonts w:eastAsia="Times New Roman" w:cs="Times New Roman" w:ascii="Liberation Serif" w:hAnsi="Liberation Serif"/>
          <w:i w:val="false"/>
          <w:iCs w:val="false"/>
          <w:sz w:val="26"/>
          <w:szCs w:val="22"/>
          <w:u w:val="none"/>
        </w:rPr>
        <w:t>ee</w:t>
      </w:r>
      <w:r>
        <w:rPr>
          <w:rFonts w:eastAsia="Times New Roman" w:cs="Times New Roman" w:ascii="Liberation Serif" w:hAnsi="Liberation Serif"/>
          <w:i w:val="false"/>
          <w:iCs w:val="false"/>
          <w:sz w:val="26"/>
          <w:szCs w:val="22"/>
          <w:u w:val="none"/>
        </w:rPr>
        <w:t xml:space="preserve">vich Zolotarev, </w:t>
      </w:r>
      <w:r>
        <w:rPr>
          <w:rFonts w:eastAsia="Times New Roman" w:cs="Times New Roman" w:ascii="Liberation Serif" w:hAnsi="Liberation Serif"/>
          <w:i w:val="false"/>
          <w:iCs w:val="false"/>
          <w:sz w:val="26"/>
          <w:szCs w:val="22"/>
          <w:u w:val="none"/>
        </w:rPr>
        <w:t xml:space="preserve">a philosopher, naturalist, and writer </w:t>
      </w:r>
      <w:r>
        <w:rPr>
          <w:rFonts w:eastAsia="Times New Roman" w:cs="Times New Roman" w:ascii="Liberation Serif" w:hAnsi="Liberation Serif"/>
          <w:i w:val="false"/>
          <w:iCs w:val="false"/>
          <w:sz w:val="26"/>
          <w:szCs w:val="22"/>
          <w:u w:val="none"/>
        </w:rPr>
        <w:t>raised</w:t>
      </w:r>
      <w:r>
        <w:rPr>
          <w:rFonts w:eastAsia="Times New Roman" w:cs="Times New Roman" w:ascii="Liberation Serif" w:hAnsi="Liberation Serif"/>
          <w:i w:val="false"/>
          <w:iCs w:val="false"/>
          <w:sz w:val="26"/>
          <w:szCs w:val="22"/>
          <w:u w:val="none"/>
        </w:rPr>
        <w:t xml:space="preserve"> on the church grounds of the </w:t>
      </w:r>
      <w:r>
        <w:rPr>
          <w:rFonts w:eastAsia="Times New Roman" w:cs="Times New Roman" w:ascii="Liberation Serif" w:hAnsi="Liberation Serif"/>
          <w:i w:val="false"/>
          <w:iCs w:val="false"/>
          <w:sz w:val="26"/>
          <w:szCs w:val="22"/>
          <w:u w:val="none"/>
        </w:rPr>
        <w:t>Cathedral of the Transfiguration of the Savior</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val="false"/>
          <w:iCs w:val="false"/>
          <w:sz w:val="26"/>
          <w:szCs w:val="22"/>
          <w:u w:val="none"/>
        </w:rPr>
        <w:t>[Spaso-Preobrashenskii sobor]</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val="false"/>
          <w:iCs w:val="false"/>
          <w:sz w:val="26"/>
          <w:szCs w:val="22"/>
          <w:u w:val="none"/>
        </w:rPr>
        <w:t>near</w:t>
      </w:r>
      <w:r>
        <w:rPr>
          <w:rFonts w:eastAsia="Times New Roman" w:cs="Times New Roman" w:ascii="Liberation Serif" w:hAnsi="Liberation Serif"/>
          <w:i w:val="false"/>
          <w:iCs w:val="false"/>
          <w:sz w:val="26"/>
          <w:szCs w:val="22"/>
          <w:u w:val="none"/>
        </w:rPr>
        <w:t xml:space="preserve"> Rybinsk. He originally studied </w:t>
      </w:r>
      <w:r>
        <w:rPr>
          <w:rFonts w:eastAsia="Times New Roman" w:cs="Times New Roman" w:ascii="Liberation Serif" w:hAnsi="Liberation Serif"/>
          <w:i w:val="false"/>
          <w:iCs w:val="false"/>
          <w:sz w:val="26"/>
          <w:szCs w:val="22"/>
          <w:u w:val="none"/>
        </w:rPr>
        <w:t>at the Kiev Spiritual Academy [</w:t>
      </w:r>
      <w:r>
        <w:rPr>
          <w:rFonts w:eastAsia="Times New Roman" w:cs="Times New Roman" w:ascii="Liberation Serif" w:hAnsi="Liberation Serif"/>
          <w:i/>
          <w:iCs/>
          <w:sz w:val="26"/>
          <w:szCs w:val="22"/>
          <w:u w:val="none"/>
        </w:rPr>
        <w:t>Kievskaia Dukhovnaia Akademiia</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val="false"/>
          <w:iCs w:val="false"/>
          <w:sz w:val="26"/>
          <w:szCs w:val="22"/>
          <w:u w:val="none"/>
        </w:rPr>
        <w:t xml:space="preserve">to follow in his father’s footsteps, but </w:t>
      </w:r>
      <w:r>
        <w:rPr>
          <w:rFonts w:eastAsia="Times New Roman" w:cs="Times New Roman" w:ascii="Liberation Serif" w:hAnsi="Liberation Serif"/>
          <w:i w:val="false"/>
          <w:iCs w:val="false"/>
          <w:sz w:val="26"/>
          <w:szCs w:val="22"/>
          <w:u w:val="none"/>
        </w:rPr>
        <w:t xml:space="preserve">transferred to the physics and mathematics department of Saint Petersburg University. Two years later in 1902, he was expelled for participating in student protests. </w:t>
      </w:r>
      <w:r>
        <w:rPr>
          <w:rFonts w:eastAsia="Times New Roman" w:cs="Times New Roman" w:ascii="Liberation Serif" w:hAnsi="Liberation Serif"/>
          <w:i w:val="false"/>
          <w:iCs w:val="false"/>
          <w:sz w:val="26"/>
          <w:szCs w:val="22"/>
          <w:u w:val="none"/>
        </w:rPr>
        <w:t>Gor’kii had a predilection for the younger fellow “Volgian” [</w:t>
      </w:r>
      <w:r>
        <w:rPr>
          <w:rFonts w:eastAsia="Times New Roman" w:cs="Times New Roman" w:ascii="Liberation Serif" w:hAnsi="Liberation Serif"/>
          <w:i/>
          <w:iCs/>
          <w:sz w:val="26"/>
          <w:szCs w:val="22"/>
          <w:u w:val="none"/>
        </w:rPr>
        <w:t>volzhanin</w:t>
      </w:r>
      <w:r>
        <w:rPr>
          <w:rFonts w:eastAsia="Times New Roman" w:cs="Times New Roman" w:ascii="Liberation Serif" w:hAnsi="Liberation Serif"/>
          <w:i w:val="false"/>
          <w:iCs w:val="false"/>
          <w:sz w:val="26"/>
          <w:szCs w:val="22"/>
          <w:u w:val="none"/>
        </w:rPr>
        <w:t>], whom he openly called his “Caprian protégé” [</w:t>
      </w:r>
      <w:r>
        <w:rPr>
          <w:rFonts w:eastAsia="Times New Roman" w:cs="Times New Roman" w:ascii="Liberation Serif" w:hAnsi="Liberation Serif"/>
          <w:i/>
          <w:iCs/>
          <w:sz w:val="26"/>
          <w:szCs w:val="22"/>
          <w:u w:val="none"/>
        </w:rPr>
        <w:t>kapriiskii protezhe</w:t>
      </w:r>
      <w:r>
        <w:rPr>
          <w:rFonts w:eastAsia="Times New Roman" w:cs="Times New Roman" w:ascii="Liberation Serif" w:hAnsi="Liberation Serif"/>
          <w:i w:val="false"/>
          <w:iCs w:val="false"/>
          <w:sz w:val="26"/>
          <w:szCs w:val="22"/>
          <w:u w:val="none"/>
        </w:rPr>
        <w:t>].</w:t>
      </w:r>
      <w:r>
        <w:rPr>
          <w:rStyle w:val="FootnoteReference"/>
          <w:rFonts w:eastAsia="Times New Roman" w:cs="Times New Roman" w:ascii="Liberation Serif" w:hAnsi="Liberation Serif"/>
          <w:i w:val="false"/>
          <w:iCs w:val="false"/>
          <w:sz w:val="26"/>
          <w:szCs w:val="22"/>
          <w:u w:val="none"/>
        </w:rPr>
        <w:footnoteReference w:id="8"/>
      </w:r>
      <w:r>
        <w:rPr>
          <w:rFonts w:eastAsia="Times New Roman" w:cs="Times New Roman" w:ascii="Liberation Serif" w:hAnsi="Liberation Serif"/>
          <w:i w:val="false"/>
          <w:iCs w:val="false"/>
          <w:sz w:val="26"/>
          <w:szCs w:val="22"/>
          <w:u w:val="none"/>
        </w:rPr>
        <w:t xml:space="preserve"> Zolotarev came to Capri three times: fall 1907, fall 1908 to spring 1909, and summer 1911 to the end of 1913. It was during that last time during which he wrote </w:t>
      </w:r>
      <w:r>
        <w:rPr>
          <w:rFonts w:eastAsia="Times New Roman" w:cs="Times New Roman" w:ascii="Liberation Serif" w:hAnsi="Liberation Serif"/>
          <w:i/>
          <w:iCs/>
          <w:sz w:val="26"/>
          <w:szCs w:val="22"/>
          <w:u w:val="none"/>
        </w:rPr>
        <w:t>The Day after the Sabbath</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iCs/>
          <w:sz w:val="26"/>
          <w:szCs w:val="22"/>
          <w:u w:val="none"/>
        </w:rPr>
        <w:t>Vo edinu ot subbot</w:t>
      </w:r>
      <w:r>
        <w:rPr>
          <w:rFonts w:eastAsia="Times New Roman" w:cs="Times New Roman" w:ascii="Liberation Serif" w:hAnsi="Liberation Serif"/>
          <w:i w:val="false"/>
          <w:iCs w:val="false"/>
          <w:sz w:val="26"/>
          <w:szCs w:val="22"/>
          <w:u w:val="none"/>
        </w:rPr>
        <w:t>].</w:t>
      </w:r>
      <w:r>
        <w:rPr>
          <w:rStyle w:val="FootnoteReference"/>
          <w:rFonts w:eastAsia="Times New Roman" w:cs="Times New Roman" w:ascii="Liberation Serif" w:hAnsi="Liberation Serif"/>
          <w:i w:val="false"/>
          <w:iCs w:val="false"/>
          <w:sz w:val="26"/>
          <w:szCs w:val="22"/>
          <w:u w:val="none"/>
        </w:rPr>
        <w:footnoteReference w:id="9"/>
      </w:r>
      <w:r>
        <w:rPr>
          <w:rFonts w:eastAsia="Times New Roman" w:cs="Times New Roman" w:ascii="Liberation Serif" w:hAnsi="Liberation Serif"/>
          <w:i w:val="false"/>
          <w:iCs w:val="false"/>
          <w:sz w:val="26"/>
          <w:szCs w:val="22"/>
          <w:u w:val="none"/>
        </w:rPr>
        <w:t xml:space="preserve"> the work to be examined. The two became acquainted via the publishing house Znamia prior to </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 xml:space="preserve">The </w:t>
      </w:r>
      <w:r>
        <w:rPr>
          <w:rFonts w:eastAsia="Times New Roman" w:cs="Times New Roman" w:ascii="Liberation Serif" w:hAnsi="Liberation Serif"/>
          <w:i w:val="false"/>
          <w:iCs w:val="false"/>
          <w:sz w:val="26"/>
          <w:szCs w:val="22"/>
          <w:u w:val="none"/>
        </w:rPr>
        <w:t>second</w:t>
      </w:r>
      <w:r>
        <w:rPr>
          <w:rFonts w:eastAsia="Times New Roman" w:cs="Times New Roman" w:ascii="Liberation Serif" w:hAnsi="Liberation Serif"/>
          <w:i w:val="false"/>
          <w:iCs w:val="false"/>
          <w:sz w:val="26"/>
          <w:szCs w:val="22"/>
          <w:u w:val="none"/>
        </w:rPr>
        <w:t xml:space="preserve"> of Gor’kii’s visitors was Il'ia Dmitrievich Surguchёv, the son of a wealthy businessman, a graduate of the Stavropol seminary, and </w:t>
      </w:r>
      <w:r>
        <w:rPr>
          <w:rFonts w:eastAsia="Times New Roman" w:cs="Times New Roman" w:ascii="Liberation Serif" w:hAnsi="Liberation Serif"/>
          <w:i w:val="false"/>
          <w:iCs w:val="false"/>
          <w:sz w:val="26"/>
          <w:szCs w:val="22"/>
          <w:u w:val="none"/>
        </w:rPr>
        <w:t>a</w:t>
      </w:r>
      <w:r>
        <w:rPr>
          <w:rFonts w:eastAsia="Times New Roman" w:cs="Times New Roman" w:ascii="Liberation Serif" w:hAnsi="Liberation Serif"/>
          <w:i w:val="false"/>
          <w:iCs w:val="false"/>
          <w:sz w:val="26"/>
          <w:szCs w:val="22"/>
          <w:u w:val="none"/>
        </w:rPr>
        <w:t xml:space="preserve"> fellow member of the </w:t>
      </w:r>
      <w:r>
        <w:rPr>
          <w:rFonts w:eastAsia="Times New Roman" w:cs="Times New Roman" w:ascii="Liberation Serif" w:hAnsi="Liberation Serif"/>
          <w:i/>
          <w:iCs/>
          <w:sz w:val="26"/>
          <w:szCs w:val="22"/>
          <w:u w:val="none"/>
        </w:rPr>
        <w:t>Znanie</w:t>
      </w:r>
      <w:r>
        <w:rPr>
          <w:rFonts w:eastAsia="Times New Roman" w:cs="Times New Roman" w:ascii="Liberation Serif" w:hAnsi="Liberation Serif"/>
          <w:i w:val="false"/>
          <w:iCs w:val="false"/>
          <w:sz w:val="26"/>
          <w:szCs w:val="22"/>
          <w:u w:val="none"/>
        </w:rPr>
        <w:t xml:space="preserve"> publishing collective. Records of Gor’kii’s mentorship of Surguchёv work start in April 1910, approximately when the younger author began publishing. Two years later, in the thirty-ninth volume of the </w:t>
      </w:r>
      <w:r>
        <w:rPr>
          <w:rFonts w:eastAsia="Times New Roman" w:cs="Times New Roman" w:ascii="Liberation Serif" w:hAnsi="Liberation Serif"/>
          <w:i/>
          <w:iCs/>
          <w:sz w:val="26"/>
          <w:szCs w:val="22"/>
          <w:u w:val="none"/>
        </w:rPr>
        <w:t>Znanie</w:t>
      </w:r>
      <w:r>
        <w:rPr>
          <w:rFonts w:eastAsia="Times New Roman" w:cs="Times New Roman" w:ascii="Liberation Serif" w:hAnsi="Liberation Serif"/>
          <w:i w:val="false"/>
          <w:iCs w:val="false"/>
          <w:sz w:val="26"/>
          <w:szCs w:val="22"/>
          <w:u w:val="none"/>
        </w:rPr>
        <w:t xml:space="preserve"> almanac, Surguchёv’s </w:t>
      </w:r>
      <w:r>
        <w:rPr>
          <w:rFonts w:eastAsia="Times New Roman" w:cs="Times New Roman" w:ascii="Liberation Serif" w:hAnsi="Liberation Serif"/>
          <w:i/>
          <w:iCs/>
          <w:sz w:val="26"/>
          <w:szCs w:val="22"/>
          <w:u w:val="none"/>
        </w:rPr>
        <w:t>The Governor</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iCs/>
          <w:sz w:val="26"/>
          <w:szCs w:val="22"/>
          <w:u w:val="none"/>
        </w:rPr>
        <w:t>Gubernator</w:t>
      </w:r>
      <w:r>
        <w:rPr>
          <w:rFonts w:eastAsia="Times New Roman" w:cs="Times New Roman" w:ascii="Liberation Serif" w:hAnsi="Liberation Serif"/>
          <w:i w:val="false"/>
          <w:iCs w:val="false"/>
          <w:sz w:val="26"/>
          <w:szCs w:val="22"/>
          <w:u w:val="none"/>
        </w:rPr>
        <w:t xml:space="preserve">] (1912) </w:t>
      </w:r>
      <w:r>
        <w:rPr>
          <w:rFonts w:eastAsia="Times New Roman" w:cs="Times New Roman" w:ascii="Liberation Serif" w:hAnsi="Liberation Serif"/>
          <w:i w:val="false"/>
          <w:iCs w:val="false"/>
          <w:sz w:val="26"/>
          <w:szCs w:val="22"/>
          <w:u w:val="none"/>
        </w:rPr>
        <w:t>saw light</w:t>
      </w:r>
      <w:r>
        <w:rPr>
          <w:rFonts w:eastAsia="Times New Roman" w:cs="Times New Roman" w:ascii="Liberation Serif" w:hAnsi="Liberation Serif"/>
          <w:i w:val="false"/>
          <w:iCs w:val="false"/>
          <w:sz w:val="26"/>
          <w:szCs w:val="22"/>
          <w:u w:val="none"/>
        </w:rPr>
        <w:t xml:space="preserve">. The novel demonstrates several commonalities with Gor’kii’s </w:t>
      </w:r>
      <w:r>
        <w:rPr>
          <w:rFonts w:eastAsia="Times New Roman" w:cs="Times New Roman" w:ascii="Liberation Serif" w:hAnsi="Liberation Serif"/>
          <w:i/>
          <w:iCs/>
          <w:sz w:val="26"/>
          <w:szCs w:val="22"/>
          <w:u w:val="none"/>
        </w:rPr>
        <w:t>Mother</w:t>
      </w:r>
      <w:r>
        <w:rPr>
          <w:rFonts w:eastAsia="Times New Roman" w:cs="Times New Roman" w:ascii="Liberation Serif" w:hAnsi="Liberation Serif"/>
          <w:i w:val="false"/>
          <w:iCs w:val="false"/>
          <w:sz w:val="26"/>
          <w:szCs w:val="22"/>
          <w:u w:val="none"/>
        </w:rPr>
        <w:t>, among other works. Its plot follows a provincial official’s spiritual awakening in the last year of his life as he comes to understand the decrepit state of the Russian elite’s values, including his own, Like Pavel and Pelageia, the governor’s growing disgust with corrupt secular and religious authorities becomes an engine for internal change guided by a Biblically sourced sense of right and wrong. Psalm 90, a song praising God as “my refuge and my protection” [</w:t>
      </w:r>
      <w:r>
        <w:rPr>
          <w:rFonts w:eastAsia="Times New Roman" w:cs="Times New Roman" w:ascii="Liberation Serif" w:hAnsi="Liberation Serif"/>
          <w:i/>
          <w:iCs/>
          <w:sz w:val="26"/>
          <w:szCs w:val="22"/>
          <w:u w:val="none"/>
        </w:rPr>
        <w:t>pribezishche moe i zashchita moia</w:t>
      </w:r>
      <w:r>
        <w:rPr>
          <w:rFonts w:eastAsia="Times New Roman" w:cs="Times New Roman" w:ascii="Liberation Serif" w:hAnsi="Liberation Serif"/>
          <w:i w:val="false"/>
          <w:iCs w:val="false"/>
          <w:sz w:val="26"/>
          <w:szCs w:val="22"/>
          <w:u w:val="none"/>
        </w:rPr>
        <w:t xml:space="preserve">], is a transpositional leitmotif throughout the first two-thirds of </w:t>
      </w:r>
      <w:r>
        <w:rPr>
          <w:rFonts w:eastAsia="Times New Roman" w:cs="Times New Roman" w:ascii="Liberation Serif" w:hAnsi="Liberation Serif"/>
          <w:i/>
          <w:iCs/>
          <w:sz w:val="26"/>
          <w:szCs w:val="22"/>
          <w:u w:val="none"/>
        </w:rPr>
        <w:t>The Governor</w:t>
      </w:r>
      <w:r>
        <w:rPr>
          <w:rFonts w:eastAsia="Times New Roman" w:cs="Times New Roman" w:ascii="Liberation Serif" w:hAnsi="Liberation Serif"/>
          <w:i w:val="false"/>
          <w:iCs w:val="false"/>
          <w:sz w:val="26"/>
          <w:szCs w:val="22"/>
          <w:u w:val="none"/>
        </w:rPr>
        <w:t>. The psalm emphasizes the ability of one under God's protection to conquer evil, and the line of Ps. 90:13, “you will tread upon the snake and the basilisk; you will trample the lion and the dragon,” turns into reality more than once for the main character.</w:t>
      </w:r>
      <w:r>
        <w:rPr>
          <w:rStyle w:val="FootnoteReference"/>
          <w:rFonts w:eastAsia="Times New Roman" w:cs="Times New Roman" w:ascii="Liberation Serif" w:hAnsi="Liberation Serif"/>
          <w:i w:val="false"/>
          <w:iCs w:val="false"/>
          <w:sz w:val="26"/>
          <w:szCs w:val="22"/>
          <w:u w:val="none"/>
        </w:rPr>
        <w:footnoteReference w:id="10"/>
      </w:r>
      <w:r>
        <w:rPr>
          <w:rFonts w:eastAsia="Times New Roman" w:cs="Times New Roman" w:ascii="Liberation Serif" w:hAnsi="Liberation Serif"/>
          <w:i w:val="false"/>
          <w:iCs w:val="false"/>
          <w:sz w:val="26"/>
          <w:szCs w:val="22"/>
          <w:u w:val="none"/>
        </w:rPr>
        <w:t xml:space="preserve"> Elsewhere in </w:t>
      </w:r>
      <w:r>
        <w:rPr>
          <w:rFonts w:eastAsia="Times New Roman" w:cs="Times New Roman" w:ascii="Liberation Serif" w:hAnsi="Liberation Serif"/>
          <w:i/>
          <w:iCs/>
          <w:sz w:val="26"/>
          <w:szCs w:val="22"/>
          <w:u w:val="none"/>
        </w:rPr>
        <w:t>The Governor</w:t>
      </w:r>
      <w:r>
        <w:rPr>
          <w:rFonts w:eastAsia="Times New Roman" w:cs="Times New Roman" w:ascii="Liberation Serif" w:hAnsi="Liberation Serif"/>
          <w:i w:val="false"/>
          <w:iCs w:val="false"/>
          <w:sz w:val="26"/>
          <w:szCs w:val="22"/>
          <w:u w:val="none"/>
        </w:rPr>
        <w:t>, the local oil baron’s stockpile goes up in flames, engulfing the setting in a hellish fire. After the source becomes known, characters only refer to the baron as “the bourgeois.”</w:t>
      </w:r>
      <w:r>
        <w:rPr>
          <w:rStyle w:val="FootnoteReference"/>
          <w:rFonts w:eastAsia="Times New Roman" w:cs="Times New Roman" w:ascii="Liberation Serif" w:hAnsi="Liberation Serif"/>
          <w:i w:val="false"/>
          <w:iCs w:val="false"/>
          <w:sz w:val="26"/>
          <w:szCs w:val="22"/>
          <w:u w:val="none"/>
        </w:rPr>
        <w:footnoteReference w:id="11"/>
      </w:r>
      <w:r>
        <w:rPr>
          <w:rFonts w:eastAsia="Times New Roman" w:cs="Times New Roman" w:ascii="Liberation Serif" w:hAnsi="Liberation Serif"/>
          <w:i w:val="false"/>
          <w:iCs w:val="false"/>
          <w:sz w:val="26"/>
          <w:szCs w:val="22"/>
          <w:u w:val="none"/>
        </w:rPr>
        <w:t xml:space="preserve"> The fire only goes out once the governor’s young daughter dies, the event which becomes the ultimate impetus for his internal conversion. </w:t>
      </w:r>
    </w:p>
    <w:p>
      <w:pPr>
        <w:pStyle w:val="Normal"/>
        <w:suppressLineNumbers w:val="0"/>
        <w:bidi w:val="0"/>
        <w:spacing w:lineRule="auto" w:line="480" w:before="0" w:after="160"/>
        <w:ind w:firstLine="720" w:left="0" w:right="0"/>
        <w:jc w:val="left"/>
        <w:rPr>
          <w:rFonts w:ascii="Liberation Serif" w:hAnsi="Liberation Serif" w:eastAsia="Times New Roman" w:cs="Times New Roman"/>
          <w:i w:val="false"/>
          <w:i w:val="false"/>
          <w:iCs w:val="false"/>
          <w:sz w:val="26"/>
          <w:szCs w:val="22"/>
          <w:u w:val="none"/>
        </w:rPr>
      </w:pPr>
      <w:r>
        <w:rPr>
          <w:rFonts w:eastAsia="Times New Roman" w:cs="Times New Roman" w:ascii="Liberation Serif" w:hAnsi="Liberation Serif"/>
          <w:i w:val="false"/>
          <w:iCs w:val="false"/>
          <w:sz w:val="26"/>
          <w:szCs w:val="22"/>
          <w:u w:val="none"/>
        </w:rPr>
        <w:t>Finally, throughout the novel but particularly after Sonya’s death, the familiar resurrection narrative plays an increasingly important role in shaping the plot. From the beginning, arguments about the possible existence of immortality are scattered among the governor’s obsessive thoughts about his impending death. After the daughter dies in childbirth, the governor is more certain than ever about both his own death and life after death. The novel ends during Holy Week. The governor’s final act is to pardon and free all the prisoners in his province before Easter by lying to the warden that the order came down from the Tsar. This mercy, he believes, will open their eyes to the truth. He has found liberation from human restraints and, in a Christly manner, wishes the same for others. The novel, while less politically motivated than Gor'kii's works, interweaves a humanistic interpretation of Orthodoxy and contemporary issues in an easily recognizable manner.</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 xml:space="preserve">The </w:t>
      </w:r>
      <w:r>
        <w:rPr>
          <w:rFonts w:eastAsia="Times New Roman" w:cs="Times New Roman" w:ascii="Liberation Serif" w:hAnsi="Liberation Serif"/>
          <w:i w:val="false"/>
          <w:iCs w:val="false"/>
          <w:sz w:val="26"/>
          <w:szCs w:val="22"/>
          <w:u w:val="none"/>
        </w:rPr>
        <w:t>third</w:t>
      </w:r>
      <w:r>
        <w:rPr>
          <w:rFonts w:eastAsia="Times New Roman" w:cs="Times New Roman" w:ascii="Liberation Serif" w:hAnsi="Liberation Serif"/>
          <w:i w:val="false"/>
          <w:iCs w:val="false"/>
          <w:sz w:val="26"/>
          <w:szCs w:val="22"/>
          <w:u w:val="none"/>
        </w:rPr>
        <w:t xml:space="preserve"> of Gor’kii’s visitors was Il’ia Egorovich Vol’nov, a revolutionary writer from a destitute peasant background. Rural poverty became a primary theme in his writings at Gor’kii’s insistence. Vol’nov arrived in Italy in January 1911 by way of Paris after spending much of his time between 1905 and then in various prisons for agitating peasant workers for the SRs. On Capri, Vol’nov lived alongside and consulted Gor’kii regularly while composing his largest and most famous work, </w:t>
      </w:r>
      <w:r>
        <w:rPr>
          <w:rFonts w:eastAsia="Times New Roman" w:cs="Times New Roman" w:ascii="Liberation Serif" w:hAnsi="Liberation Serif"/>
          <w:i/>
          <w:iCs/>
          <w:sz w:val="26"/>
          <w:szCs w:val="22"/>
          <w:u w:val="none"/>
        </w:rPr>
        <w:t>The Story of the Days of My Life: A Peasant Chronicle</w:t>
      </w:r>
      <w:r>
        <w:rPr>
          <w:rFonts w:eastAsia="Times New Roman" w:cs="Times New Roman" w:ascii="Liberation Serif" w:hAnsi="Liberation Serif"/>
          <w:i w:val="false"/>
          <w:iCs w:val="false"/>
          <w:sz w:val="26"/>
          <w:szCs w:val="22"/>
          <w:u w:val="none"/>
        </w:rPr>
        <w:t xml:space="preserve"> [</w:t>
      </w:r>
      <w:r>
        <w:rPr>
          <w:rFonts w:eastAsia="Times New Roman" w:cs="Times New Roman" w:ascii="Liberation Serif" w:hAnsi="Liberation Serif"/>
          <w:i/>
          <w:iCs/>
          <w:sz w:val="26"/>
          <w:szCs w:val="22"/>
          <w:u w:val="none"/>
        </w:rPr>
        <w:t>Povest’ o dniakh moei zhizni: Krest’iankaia khronika</w:t>
      </w:r>
      <w:r>
        <w:rPr>
          <w:rFonts w:eastAsia="Times New Roman" w:cs="Times New Roman" w:ascii="Liberation Serif" w:hAnsi="Liberation Serif"/>
          <w:i w:val="false"/>
          <w:iCs w:val="false"/>
          <w:sz w:val="26"/>
          <w:szCs w:val="22"/>
          <w:u w:val="none"/>
        </w:rPr>
        <w:t xml:space="preserve">] (1913). The novel, a fictionalized autobiography, describes a boy, first Van’tia and then Ivan, from seven to thirteen years as he experiences the defining moments of his “Childhood” and “Adolescence,” per the book’s divisions. Vol’nov uses the main character’s still-forming, childhood worldview to pathologize the village life’s inhumane conditions, in which he and many others had grown up. Poverty, violence, drunkenness, crime, and hunger repeatedly inflict the residents, who deny others’ humanity in the form of constant insults, property theft, child marriage, and physical fighting. </w:t>
      </w:r>
    </w:p>
    <w:p>
      <w:pPr>
        <w:pStyle w:val="Normal"/>
        <w:suppressLineNumbers w:val="0"/>
        <w:bidi w:val="0"/>
        <w:spacing w:lineRule="auto" w:line="480" w:before="0" w:after="160"/>
        <w:ind w:firstLine="720" w:left="0" w:right="0"/>
        <w:jc w:val="left"/>
        <w:rPr>
          <w:rFonts w:ascii="Liberation Serif" w:hAnsi="Liberation Serif"/>
          <w:sz w:val="26"/>
          <w:szCs w:val="22"/>
        </w:rPr>
      </w:pPr>
      <w:r>
        <w:rPr>
          <w:rFonts w:eastAsia="Times New Roman" w:cs="Times New Roman" w:ascii="Liberation Serif" w:hAnsi="Liberation Serif"/>
          <w:i w:val="false"/>
          <w:iCs w:val="false"/>
          <w:sz w:val="26"/>
          <w:szCs w:val="22"/>
          <w:u w:val="none"/>
        </w:rPr>
        <w:t>Like Gor’kii’s past works and his own autobiography, which would appear just months later, the young male protagonist must find his own ethical compass in preparation for a brutish life as an adult. Fathers, in particular, are a perennial antagonist for Vol’nov, as well; Van’tia suggests murdering his father to make life easier.</w:t>
      </w:r>
      <w:r>
        <w:rPr>
          <w:rStyle w:val="FootnoteReference"/>
          <w:rFonts w:eastAsia="Times New Roman" w:cs="Times New Roman" w:ascii="Liberation Serif" w:hAnsi="Liberation Serif"/>
          <w:i w:val="false"/>
          <w:iCs w:val="false"/>
          <w:sz w:val="26"/>
          <w:szCs w:val="22"/>
          <w:u w:val="none"/>
        </w:rPr>
        <w:footnoteReference w:id="12"/>
      </w:r>
      <w:r>
        <w:rPr>
          <w:rFonts w:eastAsia="Times New Roman" w:cs="Times New Roman" w:ascii="Liberation Serif" w:hAnsi="Liberation Serif"/>
          <w:i w:val="false"/>
          <w:iCs w:val="false"/>
          <w:sz w:val="26"/>
          <w:szCs w:val="22"/>
          <w:u w:val="none"/>
        </w:rPr>
        <w:t xml:space="preserve"> God and religion play a primary role in the boy’s development, but Christianity appears either in a symbolic manner or secondary to other ideas, not dissimilar to Gor’kii’s early works. In one scene, an elder retells the Parable of the Sower reflecting the Russian spiritual landscape. Christ returns to Earth with St. Peter, Il’ia the prophet, and St. Nicholas [</w:t>
      </w:r>
      <w:r>
        <w:rPr>
          <w:rFonts w:eastAsia="Times New Roman" w:cs="Times New Roman" w:ascii="Liberation Serif" w:hAnsi="Liberation Serif"/>
          <w:i/>
          <w:iCs/>
          <w:sz w:val="26"/>
          <w:szCs w:val="22"/>
          <w:u w:val="none"/>
        </w:rPr>
        <w:t>Nikolai chudotvorets</w:t>
      </w:r>
      <w:r>
        <w:rPr>
          <w:rFonts w:eastAsia="Times New Roman" w:cs="Times New Roman" w:ascii="Liberation Serif" w:hAnsi="Liberation Serif"/>
          <w:i w:val="false"/>
          <w:iCs w:val="false"/>
          <w:sz w:val="26"/>
          <w:szCs w:val="22"/>
          <w:u w:val="none"/>
        </w:rPr>
        <w:t>]. They approach a farmer, asking, “What do you sow?” The destitute man responds humbly, which inspires Christ to promise a bountiful crop. The food he is growing, buckwheat, is a stereotypical peasant food among Russians and other Slavs in Eastern Europe. When they approach a rich farmer with the same question, he ignore Christ’s question and spits on Peter the Apostle, leaving the trio nonplussed. Vol’nov takes the four types of ground, which are to symbolize people’s receptiveness to Christ’s message, and distills them into two socioeconomic populations: the poor and the rich. Like Gor’kii’s criticism of the merchant class, Vol’nov transposes a Biblical parable into the Russian context in order to publicly rebuke the attitudes of the ruling class, which, for him, is the wealthy villagers.</w:t>
      </w:r>
    </w:p>
    <w:p>
      <w:pPr>
        <w:pStyle w:val="Normal"/>
        <w:suppressLineNumbers w:val="0"/>
        <w:bidi w:val="0"/>
        <w:spacing w:lineRule="auto" w:line="480" w:before="0" w:after="160"/>
        <w:ind w:firstLine="720" w:left="0" w:right="0"/>
        <w:jc w:val="left"/>
        <w:rPr>
          <w:rFonts w:ascii="Liberation Serif" w:hAnsi="Liberation Serif" w:eastAsia="Times New Roman" w:cs="Times New Roman"/>
          <w:i w:val="false"/>
          <w:i w:val="false"/>
          <w:iCs w:val="false"/>
          <w:sz w:val="26"/>
          <w:szCs w:val="22"/>
          <w:u w:val="none"/>
        </w:rPr>
      </w:pPr>
      <w:r>
        <w:rPr>
          <w:rFonts w:eastAsia="Times New Roman" w:cs="Times New Roman" w:ascii="Liberation Serif" w:hAnsi="Liberation Serif"/>
          <w:i w:val="false"/>
          <w:iCs w:val="false"/>
          <w:sz w:val="26"/>
          <w:szCs w:val="22"/>
          <w:u w:val="none"/>
        </w:rPr>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4-08-04T13:52:31Z" w:initials="C(">
    <w:p>
      <w:pPr>
        <w:overflowPunct w:val="false"/>
        <w:spacing w:lineRule="auto" w:line="240" w:before="0" w:after="0"/>
        <w:rPr/>
      </w:pPr>
      <w:r>
        <w:rPr>
          <w:rFonts w:eastAsia="DejaVu Sans" w:ascii="Liberation Serif" w:hAnsi="Liberation Serif"/>
          <w:sz w:val="24"/>
          <w:szCs w:val="24"/>
          <w:lang w:val="en-US" w:eastAsia="en-US" w:bidi="en-US"/>
        </w:rPr>
        <w:t>Check that claim. You need a citation showing that VIL supported this venture.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Liberation Serif">
    <w:altName w:val="Times New Roman"/>
    <w:charset w:val="01"/>
    <w:family w:val="roman"/>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Maksim Gorʹkii, Nesvoevremennye mysli: Zametki o revoliutsii i kul’ture, ed. Iosif Irmovič Vajnberg (Sovetskii pisatel’, 1990), 76.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3">
    <w:p>
      <w:pPr>
        <w:pStyle w:val="FootnoteText"/>
        <w:bidi w:val="0"/>
        <w:rPr/>
      </w:pPr>
      <w:r>
        <w:rPr>
          <w:rStyle w:val="FootnoteCharacters"/>
        </w:rPr>
        <w:footnoteRef/>
      </w:r>
      <w:r>
        <w:rPr>
          <w:rFonts w:ascii="Liberation Serif" w:hAnsi="Liberation Serif"/>
        </w:rPr>
        <w:t xml:space="preserve"> </w:t>
      </w:r>
      <w:r>
        <w:rPr>
          <w:rFonts w:ascii="Liberation Serif" w:hAnsi="Liberation Serif"/>
        </w:rPr>
        <w:t xml:space="preserve">Iulii Isaevich Aikhenval’d, </w:t>
      </w:r>
      <w:r>
        <w:rPr>
          <w:rFonts w:ascii="Liberation Serif" w:hAnsi="Liberation Serif"/>
          <w:i/>
        </w:rPr>
        <w:t>Siluety Russkikh pisatelei: Noveishaia literatura</w:t>
      </w:r>
      <w:r>
        <w:rPr>
          <w:rFonts w:ascii="Liberation Serif" w:hAnsi="Liberation Serif"/>
        </w:rPr>
        <w:t>, 4th ed., vol. 3 (Berlin: Slovo, 1923), 233. “Подарок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 w:id="4">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Roger Garaudy, </w:t>
      </w:r>
      <w:r>
        <w:rPr>
          <w:rFonts w:ascii="Liberation Serif" w:hAnsi="Liberation Serif"/>
          <w:i/>
        </w:rPr>
        <w:t>The Alternative Future: A Vision of Christian Marxism</w:t>
      </w:r>
      <w:r>
        <w:rPr>
          <w:rFonts w:ascii="Liberation Serif" w:hAnsi="Liberation Serif"/>
        </w:rPr>
        <w:t>, trans. Leonard Mayhew (New York: Simon and Schuster, 1974).</w:t>
      </w:r>
    </w:p>
  </w:footnote>
  <w:footnote w:id="5">
    <w:p>
      <w:pPr>
        <w:pStyle w:val="FootnoteText"/>
        <w:rPr/>
      </w:pPr>
      <w:r>
        <w:rPr>
          <w:rStyle w:val="FootnoteCharacters"/>
        </w:rPr>
        <w:footnoteRef/>
      </w:r>
      <w:r>
        <w:rPr/>
        <w:t xml:space="preserve"> </w:t>
      </w:r>
      <w:r>
        <w:rPr/>
        <w:t xml:space="preserve">Based on evidence in letters dated on those dates. </w:t>
      </w:r>
      <w:r>
        <w:rPr/>
        <w:t xml:space="preserve">Maksim Gor’kii, </w:t>
      </w:r>
      <w:r>
        <w:rPr>
          <w:i/>
          <w:iCs/>
        </w:rPr>
        <w:t>PSP</w:t>
      </w:r>
      <w:r>
        <w:rPr/>
        <w:t>, 150, 213.</w:t>
      </w:r>
    </w:p>
  </w:footnote>
  <w:footnote w:id="6">
    <w:p>
      <w:pPr>
        <w:pStyle w:val="FootnoteText"/>
        <w:bidi w:val="0"/>
        <w:rPr/>
      </w:pPr>
      <w:r>
        <w:rPr>
          <w:rStyle w:val="FootnoteCharacters"/>
        </w:rPr>
        <w:footnoteRef/>
      </w:r>
      <w:r>
        <w:rPr/>
        <w:t xml:space="preserve"> </w:t>
      </w:r>
      <w:r>
        <w:rPr/>
        <w:t>Archive ID 41</w:t>
      </w:r>
    </w:p>
  </w:footnote>
  <w:footnote w:id="7">
    <w:p>
      <w:pPr>
        <w:pStyle w:val="FootnoteText"/>
        <w:bidi w:val="0"/>
        <w:rPr/>
      </w:pPr>
      <w:r>
        <w:rPr>
          <w:rStyle w:val="FootnoteCharacters"/>
        </w:rPr>
        <w:footnoteRef/>
      </w:r>
      <w:r>
        <w:rPr/>
        <w:t xml:space="preserve"> </w:t>
      </w:r>
      <w:r>
        <w:rPr/>
        <w:t>Archive ID 161</w:t>
      </w:r>
    </w:p>
  </w:footnote>
  <w:footnote w:id="8">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V. E. Khalizev and D. S. Moskovskaia, “Aleksei Alekseevich Zolotarev (1879-1950). Na Perekrest’e Istorii,” in </w:t>
      </w:r>
      <w:r>
        <w:rPr>
          <w:rFonts w:ascii="Liberation Serif" w:hAnsi="Liberation Serif"/>
        </w:rPr>
        <w:t>CAMPO SANTO MOEI PAMIATI</w:t>
      </w:r>
      <w:r>
        <w:rPr>
          <w:rFonts w:ascii="Liberation Serif" w:hAnsi="Liberation Serif"/>
          <w:i/>
        </w:rPr>
        <w:t xml:space="preserve">: Memuary. Khudozhestvennaia </w:t>
      </w:r>
      <w:r>
        <w:rPr>
          <w:rFonts w:ascii="Liberation Serif" w:hAnsi="Liberation Serif"/>
          <w:i/>
        </w:rPr>
        <w:t>p</w:t>
      </w:r>
      <w:r>
        <w:rPr>
          <w:rFonts w:ascii="Liberation Serif" w:hAnsi="Liberation Serif"/>
          <w:i/>
        </w:rPr>
        <w:t xml:space="preserve">roza. Stikhotvoreniia. Publitsistika. Filosofskie </w:t>
      </w:r>
      <w:r>
        <w:rPr>
          <w:rFonts w:ascii="Liberation Serif" w:hAnsi="Liberation Serif"/>
          <w:i/>
        </w:rPr>
        <w:t>p</w:t>
      </w:r>
      <w:r>
        <w:rPr>
          <w:rFonts w:ascii="Liberation Serif" w:hAnsi="Liberation Serif"/>
          <w:i/>
        </w:rPr>
        <w:t xml:space="preserve">roizvediia. Vyskazivaniia </w:t>
      </w:r>
      <w:r>
        <w:rPr>
          <w:rFonts w:ascii="Liberation Serif" w:hAnsi="Liberation Serif"/>
          <w:i/>
        </w:rPr>
        <w:t>s</w:t>
      </w:r>
      <w:r>
        <w:rPr>
          <w:rFonts w:ascii="Liberation Serif" w:hAnsi="Liberation Serif"/>
          <w:i/>
        </w:rPr>
        <w:t>ovremennikov</w:t>
      </w:r>
      <w:r>
        <w:rPr>
          <w:rFonts w:ascii="Liberation Serif" w:hAnsi="Liberation Serif"/>
        </w:rPr>
        <w:t xml:space="preserve"> (Rostok, 2016), </w:t>
      </w:r>
      <w:r>
        <w:rPr>
          <w:rFonts w:ascii="Liberation Serif" w:hAnsi="Liberation Serif"/>
        </w:rPr>
        <w:t>3-5</w:t>
      </w:r>
      <w:r>
        <w:rPr>
          <w:rFonts w:ascii="Liberation Serif" w:hAnsi="Liberation Serif"/>
        </w:rPr>
        <w:t>.</w:t>
      </w:r>
    </w:p>
  </w:footnote>
  <w:footnote w:id="9">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The book’s title, </w:t>
      </w:r>
      <w:r>
        <w:rPr>
          <w:rFonts w:ascii="Liberation Serif" w:hAnsi="Liberation Serif"/>
          <w:i/>
          <w:iCs/>
        </w:rPr>
        <w:t>Vo edinu ot subbot</w:t>
      </w:r>
      <w:r>
        <w:rPr>
          <w:rFonts w:ascii="Liberation Serif" w:hAnsi="Liberation Serif"/>
        </w:rPr>
        <w:t>, is a Church Slavonic phrase from John 20:1: “Во є҆ди́нꙋ же ѿ сꙋббѡ́тъ марі́а магдали́на прїи́де заꙋ́тра, є҆щѐ сꙋ́щей тьмѣ̀, на гро́бъ, и҆ ви́дѣ ка́мень взѧ́тъ ѿ гро́ба.” [Vo edinu zhe ot subbot Mariia Magdalina piide zautra, eshche sushche t’ma, na grob, I vide kamen vziat ot groba. “The day after the sabbath, Maria Magdalene came early in the morning while it was still dark to the tomb and saw that the stone had been taken from the tomb.”]</w:t>
      </w:r>
    </w:p>
  </w:footnote>
  <w:footnote w:id="10">
    <w:p>
      <w:pPr>
        <w:pStyle w:val="FootnoteText"/>
        <w:bidi w:val="0"/>
        <w:rPr/>
      </w:pPr>
      <w:r>
        <w:rPr>
          <w:rStyle w:val="FootnoteCharacters"/>
        </w:rPr>
        <w:footnoteRef/>
      </w:r>
      <w:r>
        <w:rPr/>
        <w:t xml:space="preserve"> </w:t>
      </w:r>
      <w:r>
        <w:rPr/>
        <w:t>Luke, in chapter 10 of his gospel, quotes this very line between telling the Narrative of the Seventy Apostles and the Parable of the Good Samaritan. (10:19)</w:t>
      </w:r>
    </w:p>
  </w:footnote>
  <w:footnote w:id="11">
    <w:p>
      <w:pPr>
        <w:pStyle w:val="FootnoteText"/>
        <w:bidi w:val="0"/>
        <w:rPr/>
      </w:pPr>
      <w:r>
        <w:rPr>
          <w:rStyle w:val="FootnoteCharacters"/>
        </w:rPr>
        <w:footnoteRef/>
      </w:r>
      <w:r>
        <w:rPr/>
        <w:t xml:space="preserve"> </w:t>
      </w:r>
      <w:r>
        <w:rPr/>
        <w:t>Surguchev, p.147</w:t>
      </w:r>
    </w:p>
  </w:footnote>
  <w:footnote w:id="12">
    <w:p>
      <w:pPr>
        <w:pStyle w:val="FootnoteText"/>
        <w:rPr/>
      </w:pPr>
      <w:r>
        <w:rPr>
          <w:rStyle w:val="FootnoteCharacters"/>
        </w:rPr>
        <w:footnoteRef/>
      </w:r>
      <w:r>
        <w:rPr/>
        <w:t xml:space="preserve"> </w:t>
      </w:r>
      <w:r>
        <w:rPr/>
        <w:t>p. 77</w:t>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link w:val="FootnoteTextChar"/>
    <w:pPr>
      <w:spacing w:lineRule="auto" w:line="240" w:before="0" w:after="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11173</TotalTime>
  <Application>LibreOffice/25.2.1.2$Linux_X86_64 LibreOffice_project/520$Build-2</Application>
  <AppVersion>15.0000</AppVersion>
  <Pages>10</Pages>
  <Words>2837</Words>
  <Characters>15216</Characters>
  <CharactersWithSpaces>18036</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2024-01-12T21:34:50Z</dcterms:created>
  <dc:creator>Thompson, Aaron Michael (amt3ad)</dc:creator>
  <dc:description/>
  <dc:language>en-US</dc:language>
  <cp:lastModifiedBy/>
  <dcterms:modified xsi:type="dcterms:W3CDTF">2025-03-22T19:04:29Z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