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B365D"/>
          <w:sz w:val="48"/>
        </w:rPr>
        <w:t>EDUMIND: THE NEXT GEN LEARNING ASSISTANT</w:t>
      </w:r>
    </w:p>
    <w:p>
      <w:pPr>
        <w:spacing w:after="400"/>
        <w:jc w:val="center"/>
      </w:pPr>
      <w:r>
        <w:rPr>
          <w:rFonts w:ascii="Calibri" w:hAnsi="Calibri"/>
          <w:i/>
          <w:color w:val="646E78"/>
          <w:sz w:val="26"/>
        </w:rPr>
        <w:t>Comprehensive Technical Guide: Report vs. Implementation, Project Architecture &amp; Codebase Structure</w:t>
      </w:r>
    </w:p>
    <w:tbl>
      <w:tblPr>
        <w:tblW w:type="auto" w:w="0"/>
        <w:jc w:val="center"/>
        <w:tblLook w:firstColumn="1" w:firstRow="1" w:lastColumn="0" w:lastRow="0" w:noHBand="0" w:noVBand="1" w:val="04A0"/>
      </w:tblPr>
      <w:tblGrid>
        <w:gridCol w:w="4968"/>
        <w:gridCol w:w="4968"/>
      </w:tblGrid>
      <w:tr>
        <w:tc>
          <w:tcPr>
            <w:tcW w:type="dxa" w:w="4968"/>
            <w:shd w:fill="EAEFF5"/>
            <w:tcMar>
              <w:top w:w="60" w:type="dxa"/>
              <w:bottom w:w="60" w:type="dxa"/>
              <w:left w:w="100" w:type="dxa"/>
              <w:right w:w="100" w:type="dxa"/>
            </w:tcMar>
          </w:tcPr>
          <w:p>
            <w:r>
              <w:rPr>
                <w:b/>
                <w:sz w:val="20"/>
              </w:rPr>
              <w:t>Project Name</w:t>
            </w:r>
          </w:p>
        </w:tc>
        <w:tc>
          <w:tcPr>
            <w:tcW w:type="dxa" w:w="4968"/>
            <w:shd w:fill="F8FAFC"/>
            <w:tcMar>
              <w:top w:w="60" w:type="dxa"/>
              <w:bottom w:w="60" w:type="dxa"/>
              <w:left w:w="100" w:type="dxa"/>
              <w:right w:w="100" w:type="dxa"/>
            </w:tcMar>
          </w:tcPr>
          <w:p>
            <w:r>
              <w:rPr>
                <w:sz w:val="20"/>
              </w:rPr>
              <w:t>EduMind: The Next Gen Learning Assistant</w:t>
            </w:r>
          </w:p>
        </w:tc>
      </w:tr>
      <w:tr>
        <w:tc>
          <w:tcPr>
            <w:tcW w:type="dxa" w:w="4968"/>
            <w:shd w:fill="EAEFF5"/>
            <w:tcMar>
              <w:top w:w="60" w:type="dxa"/>
              <w:bottom w:w="60" w:type="dxa"/>
              <w:left w:w="100" w:type="dxa"/>
              <w:right w:w="100" w:type="dxa"/>
            </w:tcMar>
          </w:tcPr>
          <w:p>
            <w:r>
              <w:rPr>
                <w:b/>
                <w:sz w:val="20"/>
              </w:rPr>
              <w:t>Project Domain</w:t>
            </w:r>
          </w:p>
        </w:tc>
        <w:tc>
          <w:tcPr>
            <w:tcW w:type="dxa" w:w="4968"/>
            <w:shd w:fill="F8FAFC"/>
            <w:tcMar>
              <w:top w:w="60" w:type="dxa"/>
              <w:bottom w:w="60" w:type="dxa"/>
              <w:left w:w="100" w:type="dxa"/>
              <w:right w:w="100" w:type="dxa"/>
            </w:tcMar>
          </w:tcPr>
          <w:p>
            <w:r>
              <w:rPr>
                <w:sz w:val="20"/>
              </w:rPr>
              <w:t>Artificial Intelligence in Education (AIEd) &amp; Knowledge-Intensive NLP</w:t>
            </w:r>
          </w:p>
        </w:tc>
      </w:tr>
      <w:tr>
        <w:tc>
          <w:tcPr>
            <w:tcW w:type="dxa" w:w="4968"/>
            <w:shd w:fill="EAEFF5"/>
            <w:tcMar>
              <w:top w:w="60" w:type="dxa"/>
              <w:bottom w:w="60" w:type="dxa"/>
              <w:left w:w="100" w:type="dxa"/>
              <w:right w:w="100" w:type="dxa"/>
            </w:tcMar>
          </w:tcPr>
          <w:p>
            <w:r>
              <w:rPr>
                <w:b/>
                <w:sz w:val="20"/>
              </w:rPr>
              <w:t>Academic Context</w:t>
            </w:r>
          </w:p>
        </w:tc>
        <w:tc>
          <w:tcPr>
            <w:tcW w:type="dxa" w:w="4968"/>
            <w:shd w:fill="F8FAFC"/>
            <w:tcMar>
              <w:top w:w="60" w:type="dxa"/>
              <w:bottom w:w="60" w:type="dxa"/>
              <w:left w:w="100" w:type="dxa"/>
              <w:right w:w="100" w:type="dxa"/>
            </w:tcMar>
          </w:tcPr>
          <w:p>
            <w:r>
              <w:rPr>
                <w:sz w:val="20"/>
              </w:rPr>
              <w:t>B.Tech Minor / Internship Project (Vel Tech R&amp;D Institute of Science and Technology)</w:t>
            </w:r>
          </w:p>
        </w:tc>
      </w:tr>
      <w:tr>
        <w:tc>
          <w:tcPr>
            <w:tcW w:type="dxa" w:w="4968"/>
            <w:shd w:fill="EAEFF5"/>
            <w:tcMar>
              <w:top w:w="60" w:type="dxa"/>
              <w:bottom w:w="60" w:type="dxa"/>
              <w:left w:w="100" w:type="dxa"/>
              <w:right w:w="100" w:type="dxa"/>
            </w:tcMar>
          </w:tcPr>
          <w:p>
            <w:r>
              <w:rPr>
                <w:b/>
                <w:sz w:val="20"/>
              </w:rPr>
              <w:t>Technology Stack</w:t>
            </w:r>
          </w:p>
        </w:tc>
        <w:tc>
          <w:tcPr>
            <w:tcW w:type="dxa" w:w="4968"/>
            <w:shd w:fill="F8FAFC"/>
            <w:tcMar>
              <w:top w:w="60" w:type="dxa"/>
              <w:bottom w:w="60" w:type="dxa"/>
              <w:left w:w="100" w:type="dxa"/>
              <w:right w:w="100" w:type="dxa"/>
            </w:tcMar>
          </w:tcPr>
          <w:p>
            <w:r>
              <w:rPr>
                <w:sz w:val="20"/>
              </w:rPr>
              <w:t>React 19 (TypeScript), FastAPI (Python), Chroma DB, Ollama (Mistral), Chart.js</w:t>
            </w:r>
          </w:p>
        </w:tc>
      </w:tr>
    </w:tbl>
    <w:p/>
    <w:p>
      <w:pPr>
        <w:keepNext/>
        <w:spacing w:before="360" w:after="120"/>
      </w:pPr>
      <w:r>
        <w:rPr>
          <w:rFonts w:ascii="Arial" w:hAnsi="Arial"/>
          <w:b/>
          <w:color w:val="1B365D"/>
          <w:sz w:val="32"/>
        </w:rPr>
        <w:t>1. Differences Between Academic Report &amp; Project Codebase</w:t>
      </w:r>
    </w:p>
    <w:p>
      <w:r>
        <w:t>While the core functionality (Retrieval-Augmented Generation, vector embeddings, dynamic MCQ generation, and cognitive performance analytics) directly implements the methodology laid out in the report, several pragmatic architectural differences exist. These differences reflect the transition from an ideal theoretical enterprise design in the academic report to an efficient, zero-cost, local developer prototype.</w:t>
      </w:r>
    </w:p>
    <w:tbl>
      <w:tblPr>
        <w:tblW w:type="auto" w:w="0"/>
        <w:jc w:val="center"/>
        <w:tblLook w:firstColumn="1" w:firstRow="1" w:lastColumn="0" w:lastRow="0" w:noHBand="0" w:noVBand="1" w:val="04A0"/>
      </w:tblPr>
      <w:tblGrid>
        <w:gridCol w:w="2484"/>
        <w:gridCol w:w="2484"/>
        <w:gridCol w:w="2484"/>
        <w:gridCol w:w="2484"/>
      </w:tblGrid>
      <w:tr>
        <w:tc>
          <w:tcPr>
            <w:tcW w:type="dxa" w:w="1872"/>
            <w:shd w:fill="1B365D"/>
            <w:tcMar>
              <w:top w:w="100" w:type="dxa"/>
              <w:bottom w:w="100" w:type="dxa"/>
              <w:left w:w="100" w:type="dxa"/>
              <w:right w:w="100" w:type="dxa"/>
            </w:tcMar>
          </w:tcPr>
          <w:p>
            <w:r>
              <w:rPr>
                <w:b/>
                <w:color w:val="FFFFFF"/>
                <w:sz w:val="19"/>
              </w:rPr>
              <w:t>Component</w:t>
            </w:r>
          </w:p>
        </w:tc>
        <w:tc>
          <w:tcPr>
            <w:tcW w:type="dxa" w:w="2592"/>
            <w:shd w:fill="1B365D"/>
            <w:tcMar>
              <w:top w:w="100" w:type="dxa"/>
              <w:bottom w:w="100" w:type="dxa"/>
              <w:left w:w="100" w:type="dxa"/>
              <w:right w:w="100" w:type="dxa"/>
            </w:tcMar>
          </w:tcPr>
          <w:p>
            <w:r>
              <w:rPr>
                <w:b/>
                <w:color w:val="FFFFFF"/>
                <w:sz w:val="19"/>
              </w:rPr>
              <w:t>As Stated in Report</w:t>
            </w:r>
          </w:p>
        </w:tc>
        <w:tc>
          <w:tcPr>
            <w:tcW w:type="dxa" w:w="2592"/>
            <w:shd w:fill="1B365D"/>
            <w:tcMar>
              <w:top w:w="100" w:type="dxa"/>
              <w:bottom w:w="100" w:type="dxa"/>
              <w:left w:w="100" w:type="dxa"/>
              <w:right w:w="100" w:type="dxa"/>
            </w:tcMar>
          </w:tcPr>
          <w:p>
            <w:r>
              <w:rPr>
                <w:b/>
                <w:color w:val="FFFFFF"/>
                <w:sz w:val="19"/>
              </w:rPr>
              <w:t>Actual Prototype Codebase</w:t>
            </w:r>
          </w:p>
        </w:tc>
        <w:tc>
          <w:tcPr>
            <w:tcW w:type="dxa" w:w="3024"/>
            <w:shd w:fill="1B365D"/>
            <w:tcMar>
              <w:top w:w="100" w:type="dxa"/>
              <w:bottom w:w="100" w:type="dxa"/>
              <w:left w:w="100" w:type="dxa"/>
              <w:right w:w="100" w:type="dxa"/>
            </w:tcMar>
          </w:tcPr>
          <w:p>
            <w:r>
              <w:rPr>
                <w:b/>
                <w:color w:val="FFFFFF"/>
                <w:sz w:val="19"/>
              </w:rPr>
              <w:t>Viva / Defense Rationale</w:t>
            </w:r>
          </w:p>
        </w:tc>
      </w:tr>
      <w:tr>
        <w:tc>
          <w:tcPr>
            <w:tcW w:type="dxa" w:w="1872"/>
            <w:shd w:fill="F8FAFC"/>
            <w:tcMar>
              <w:top w:w="80" w:type="dxa"/>
              <w:bottom w:w="80" w:type="dxa"/>
              <w:left w:w="90" w:type="dxa"/>
              <w:right w:w="90" w:type="dxa"/>
            </w:tcMar>
          </w:tcPr>
          <w:p>
            <w:r>
              <w:rPr>
                <w:b/>
                <w:sz w:val="19"/>
              </w:rPr>
              <w:t>Application Database</w:t>
            </w:r>
          </w:p>
        </w:tc>
        <w:tc>
          <w:tcPr>
            <w:tcW w:type="dxa" w:w="2592"/>
            <w:shd w:fill="F8FAFC"/>
            <w:tcMar>
              <w:top w:w="80" w:type="dxa"/>
              <w:bottom w:w="80" w:type="dxa"/>
              <w:left w:w="90" w:type="dxa"/>
              <w:right w:w="90" w:type="dxa"/>
            </w:tcMar>
          </w:tcPr>
          <w:p>
            <w:r>
              <w:rPr>
                <w:sz w:val="19"/>
              </w:rPr>
              <w:t>MongoDB (v6.0+) using pymongo for user profiles, assessment records, and test history.</w:t>
            </w:r>
          </w:p>
        </w:tc>
        <w:tc>
          <w:tcPr>
            <w:tcW w:type="dxa" w:w="2592"/>
            <w:shd w:fill="F8FAFC"/>
            <w:tcMar>
              <w:top w:w="80" w:type="dxa"/>
              <w:bottom w:w="80" w:type="dxa"/>
              <w:left w:w="90" w:type="dxa"/>
              <w:right w:w="90" w:type="dxa"/>
            </w:tcMar>
          </w:tcPr>
          <w:p>
            <w:r>
              <w:rPr>
                <w:sz w:val="19"/>
              </w:rPr>
              <w:t>No MongoDB. Client-side localStorage holds test history and learner style; sent in HTTP bodies.</w:t>
            </w:r>
          </w:p>
        </w:tc>
        <w:tc>
          <w:tcPr>
            <w:tcW w:type="dxa" w:w="3024"/>
            <w:shd w:fill="F8FAFC"/>
            <w:tcMar>
              <w:top w:w="80" w:type="dxa"/>
              <w:bottom w:w="80" w:type="dxa"/>
              <w:left w:w="90" w:type="dxa"/>
              <w:right w:w="90" w:type="dxa"/>
            </w:tcMar>
          </w:tcPr>
          <w:p>
            <w:r>
              <w:rPr>
                <w:sz w:val="19"/>
              </w:rPr>
              <w:t>For prototype testing, localStorage enables instant zero-setup portability without configuring external DB servers.</w:t>
            </w:r>
          </w:p>
        </w:tc>
      </w:tr>
      <w:tr>
        <w:tc>
          <w:tcPr>
            <w:tcW w:type="dxa" w:w="1872"/>
            <w:shd w:fill="FFFFFF"/>
            <w:tcMar>
              <w:top w:w="80" w:type="dxa"/>
              <w:bottom w:w="80" w:type="dxa"/>
              <w:left w:w="90" w:type="dxa"/>
              <w:right w:w="90" w:type="dxa"/>
            </w:tcMar>
          </w:tcPr>
          <w:p>
            <w:r>
              <w:rPr>
                <w:b/>
                <w:sz w:val="19"/>
              </w:rPr>
              <w:t>User Authentication</w:t>
            </w:r>
          </w:p>
        </w:tc>
        <w:tc>
          <w:tcPr>
            <w:tcW w:type="dxa" w:w="2592"/>
            <w:shd w:fill="FFFFFF"/>
            <w:tcMar>
              <w:top w:w="80" w:type="dxa"/>
              <w:bottom w:w="80" w:type="dxa"/>
              <w:left w:w="90" w:type="dxa"/>
              <w:right w:w="90" w:type="dxa"/>
            </w:tcMar>
          </w:tcPr>
          <w:p>
            <w:r>
              <w:rPr>
                <w:sz w:val="19"/>
              </w:rPr>
              <w:t>Full authentication system with password hashing, user DB accounts, and JWT sessions.</w:t>
            </w:r>
          </w:p>
        </w:tc>
        <w:tc>
          <w:tcPr>
            <w:tcW w:type="dxa" w:w="2592"/>
            <w:shd w:fill="FFFFFF"/>
            <w:tcMar>
              <w:top w:w="80" w:type="dxa"/>
              <w:bottom w:w="80" w:type="dxa"/>
              <w:left w:w="90" w:type="dxa"/>
              <w:right w:w="90" w:type="dxa"/>
            </w:tcMar>
          </w:tcPr>
          <w:p>
            <w:r>
              <w:rPr>
                <w:sz w:val="19"/>
              </w:rPr>
              <w:t>Client-side prototype mock (LoginPage.tsx) where clicking Login triggers onLogin() directly.</w:t>
            </w:r>
          </w:p>
        </w:tc>
        <w:tc>
          <w:tcPr>
            <w:tcW w:type="dxa" w:w="3024"/>
            <w:shd w:fill="FFFFFF"/>
            <w:tcMar>
              <w:top w:w="80" w:type="dxa"/>
              <w:bottom w:w="80" w:type="dxa"/>
              <w:left w:w="90" w:type="dxa"/>
              <w:right w:w="90" w:type="dxa"/>
            </w:tcMar>
          </w:tcPr>
          <w:p>
            <w:r>
              <w:rPr>
                <w:sz w:val="19"/>
              </w:rPr>
              <w:t>Demonstrates UI workflow and access control transitions without creating complex token expiry bottlenecks.</w:t>
            </w:r>
          </w:p>
        </w:tc>
      </w:tr>
      <w:tr>
        <w:tc>
          <w:tcPr>
            <w:tcW w:type="dxa" w:w="1872"/>
            <w:shd w:fill="F8FAFC"/>
            <w:tcMar>
              <w:top w:w="80" w:type="dxa"/>
              <w:bottom w:w="80" w:type="dxa"/>
              <w:left w:w="90" w:type="dxa"/>
              <w:right w:w="90" w:type="dxa"/>
            </w:tcMar>
          </w:tcPr>
          <w:p>
            <w:r>
              <w:rPr>
                <w:b/>
                <w:sz w:val="19"/>
              </w:rPr>
              <w:t>Generative LLM Engine</w:t>
            </w:r>
          </w:p>
        </w:tc>
        <w:tc>
          <w:tcPr>
            <w:tcW w:type="dxa" w:w="2592"/>
            <w:shd w:fill="F8FAFC"/>
            <w:tcMar>
              <w:top w:w="80" w:type="dxa"/>
              <w:bottom w:w="80" w:type="dxa"/>
              <w:left w:w="90" w:type="dxa"/>
              <w:right w:w="90" w:type="dxa"/>
            </w:tcMar>
          </w:tcPr>
          <w:p>
            <w:r>
              <w:rPr>
                <w:sz w:val="19"/>
              </w:rPr>
              <w:t>Kimi Large Language Model accessed via OpenRouter Cloud API.</w:t>
            </w:r>
          </w:p>
        </w:tc>
        <w:tc>
          <w:tcPr>
            <w:tcW w:type="dxa" w:w="2592"/>
            <w:shd w:fill="F8FAFC"/>
            <w:tcMar>
              <w:top w:w="80" w:type="dxa"/>
              <w:bottom w:w="80" w:type="dxa"/>
              <w:left w:w="90" w:type="dxa"/>
              <w:right w:w="90" w:type="dxa"/>
            </w:tcMar>
          </w:tcPr>
          <w:p>
            <w:r>
              <w:rPr>
                <w:sz w:val="19"/>
              </w:rPr>
              <w:t>Local Ollama (mistral:latest) on http://localhost:11434. OpenRouter used only for summaries.</w:t>
            </w:r>
          </w:p>
        </w:tc>
        <w:tc>
          <w:tcPr>
            <w:tcW w:type="dxa" w:w="3024"/>
            <w:shd w:fill="F8FAFC"/>
            <w:tcMar>
              <w:top w:w="80" w:type="dxa"/>
              <w:bottom w:w="80" w:type="dxa"/>
              <w:left w:w="90" w:type="dxa"/>
              <w:right w:w="90" w:type="dxa"/>
            </w:tcMar>
          </w:tcPr>
          <w:p>
            <w:r>
              <w:rPr>
                <w:sz w:val="19"/>
              </w:rPr>
              <w:t>Eliminates recurring API subscription costs, rate limits, and network latency while preserving total student data privacy.</w:t>
            </w:r>
          </w:p>
        </w:tc>
      </w:tr>
      <w:tr>
        <w:tc>
          <w:tcPr>
            <w:tcW w:type="dxa" w:w="1872"/>
            <w:shd w:fill="FFFFFF"/>
            <w:tcMar>
              <w:top w:w="80" w:type="dxa"/>
              <w:bottom w:w="80" w:type="dxa"/>
              <w:left w:w="90" w:type="dxa"/>
              <w:right w:w="90" w:type="dxa"/>
            </w:tcMar>
          </w:tcPr>
          <w:p>
            <w:r>
              <w:rPr>
                <w:b/>
                <w:sz w:val="19"/>
              </w:rPr>
              <w:t>Test Generation Question Count</w:t>
            </w:r>
          </w:p>
        </w:tc>
        <w:tc>
          <w:tcPr>
            <w:tcW w:type="dxa" w:w="2592"/>
            <w:shd w:fill="FFFFFF"/>
            <w:tcMar>
              <w:top w:w="80" w:type="dxa"/>
              <w:bottom w:w="80" w:type="dxa"/>
              <w:left w:w="90" w:type="dxa"/>
              <w:right w:w="90" w:type="dxa"/>
            </w:tcMar>
          </w:tcPr>
          <w:p>
            <w:r>
              <w:rPr>
                <w:sz w:val="19"/>
              </w:rPr>
              <w:t>Generates a 10-question MCQ test based on document content (Sections 4.4.3 &amp; 4.5.3).</w:t>
            </w:r>
          </w:p>
        </w:tc>
        <w:tc>
          <w:tcPr>
            <w:tcW w:type="dxa" w:w="2592"/>
            <w:shd w:fill="FFFFFF"/>
            <w:tcMar>
              <w:top w:w="80" w:type="dxa"/>
              <w:bottom w:w="80" w:type="dxa"/>
              <w:left w:w="90" w:type="dxa"/>
              <w:right w:w="90" w:type="dxa"/>
            </w:tcMar>
          </w:tcPr>
          <w:p>
            <w:r>
              <w:rPr>
                <w:sz w:val="19"/>
              </w:rPr>
              <w:t>Generates 16 questions (4 questions per category across 4 cognitive domains in test_feature.py).</w:t>
            </w:r>
          </w:p>
        </w:tc>
        <w:tc>
          <w:tcPr>
            <w:tcW w:type="dxa" w:w="3024"/>
            <w:shd w:fill="FFFFFF"/>
            <w:tcMar>
              <w:top w:w="80" w:type="dxa"/>
              <w:bottom w:w="80" w:type="dxa"/>
              <w:left w:w="90" w:type="dxa"/>
              <w:right w:w="90" w:type="dxa"/>
            </w:tcMar>
          </w:tcPr>
          <w:p>
            <w:r>
              <w:rPr>
                <w:sz w:val="19"/>
              </w:rPr>
              <w:t>16 questions provide an exact mathematical balance of 4 questions for each of the 4 cognitive skill categories.</w:t>
            </w:r>
          </w:p>
        </w:tc>
      </w:tr>
      <w:tr>
        <w:tc>
          <w:tcPr>
            <w:tcW w:type="dxa" w:w="1872"/>
            <w:shd w:fill="F8FAFC"/>
            <w:tcMar>
              <w:top w:w="80" w:type="dxa"/>
              <w:bottom w:w="80" w:type="dxa"/>
              <w:left w:w="90" w:type="dxa"/>
              <w:right w:w="90" w:type="dxa"/>
            </w:tcMar>
          </w:tcPr>
          <w:p>
            <w:r>
              <w:rPr>
                <w:b/>
                <w:sz w:val="19"/>
              </w:rPr>
              <w:t>Assessment Question Count</w:t>
            </w:r>
          </w:p>
        </w:tc>
        <w:tc>
          <w:tcPr>
            <w:tcW w:type="dxa" w:w="2592"/>
            <w:shd w:fill="F8FAFC"/>
            <w:tcMar>
              <w:top w:w="80" w:type="dxa"/>
              <w:bottom w:w="80" w:type="dxa"/>
              <w:left w:w="90" w:type="dxa"/>
              <w:right w:w="90" w:type="dxa"/>
            </w:tcMar>
          </w:tcPr>
          <w:p>
            <w:r>
              <w:rPr>
                <w:sz w:val="19"/>
              </w:rPr>
              <w:t>Predefined static dataset of 12 questions in assessment.py (Section 4.4.3).</w:t>
            </w:r>
          </w:p>
        </w:tc>
        <w:tc>
          <w:tcPr>
            <w:tcW w:type="dxa" w:w="2592"/>
            <w:shd w:fill="F8FAFC"/>
            <w:tcMar>
              <w:top w:w="80" w:type="dxa"/>
              <w:bottom w:w="80" w:type="dxa"/>
              <w:left w:w="90" w:type="dxa"/>
              <w:right w:w="90" w:type="dxa"/>
            </w:tcMar>
          </w:tcPr>
          <w:p>
            <w:r>
              <w:rPr>
                <w:sz w:val="19"/>
              </w:rPr>
              <w:t>10 predefined questions in scripts/assessment.py.</w:t>
            </w:r>
          </w:p>
        </w:tc>
        <w:tc>
          <w:tcPr>
            <w:tcW w:type="dxa" w:w="3024"/>
            <w:shd w:fill="F8FAFC"/>
            <w:tcMar>
              <w:top w:w="80" w:type="dxa"/>
              <w:bottom w:w="80" w:type="dxa"/>
              <w:left w:w="90" w:type="dxa"/>
              <w:right w:w="90" w:type="dxa"/>
            </w:tcMar>
          </w:tcPr>
          <w:p>
            <w:r>
              <w:rPr>
                <w:sz w:val="19"/>
              </w:rPr>
              <w:t>10 questions provide an optimal balance between questionnaire completion time and accurate archetype detection.</w:t>
            </w:r>
          </w:p>
        </w:tc>
      </w:tr>
      <w:tr>
        <w:tc>
          <w:tcPr>
            <w:tcW w:type="dxa" w:w="1872"/>
            <w:shd w:fill="FFFFFF"/>
            <w:tcMar>
              <w:top w:w="80" w:type="dxa"/>
              <w:bottom w:w="80" w:type="dxa"/>
              <w:left w:w="90" w:type="dxa"/>
              <w:right w:w="90" w:type="dxa"/>
            </w:tcMar>
          </w:tcPr>
          <w:p>
            <w:r>
              <w:rPr>
                <w:b/>
                <w:sz w:val="19"/>
              </w:rPr>
              <w:t>Frontend Routing &amp; HTTP</w:t>
            </w:r>
          </w:p>
        </w:tc>
        <w:tc>
          <w:tcPr>
            <w:tcW w:type="dxa" w:w="2592"/>
            <w:shd w:fill="FFFFFF"/>
            <w:tcMar>
              <w:top w:w="80" w:type="dxa"/>
              <w:bottom w:w="80" w:type="dxa"/>
              <w:left w:w="90" w:type="dxa"/>
              <w:right w:w="90" w:type="dxa"/>
            </w:tcMar>
          </w:tcPr>
          <w:p>
            <w:r>
              <w:rPr>
                <w:sz w:val="19"/>
              </w:rPr>
              <w:t>Lists react-router-dom for client routing and axios for HTTP requests (Section 3.3.2).</w:t>
            </w:r>
          </w:p>
        </w:tc>
        <w:tc>
          <w:tcPr>
            <w:tcW w:type="dxa" w:w="2592"/>
            <w:shd w:fill="FFFFFF"/>
            <w:tcMar>
              <w:top w:w="80" w:type="dxa"/>
              <w:bottom w:w="80" w:type="dxa"/>
              <w:left w:w="90" w:type="dxa"/>
              <w:right w:w="90" w:type="dxa"/>
            </w:tcMar>
          </w:tcPr>
          <w:p>
            <w:r>
              <w:rPr>
                <w:sz w:val="19"/>
              </w:rPr>
              <w:t>No react-router-dom or axios installed. Uses React state (activeTab) and native fetch() API.</w:t>
            </w:r>
          </w:p>
        </w:tc>
        <w:tc>
          <w:tcPr>
            <w:tcW w:type="dxa" w:w="3024"/>
            <w:shd w:fill="FFFFFF"/>
            <w:tcMar>
              <w:top w:w="80" w:type="dxa"/>
              <w:bottom w:w="80" w:type="dxa"/>
              <w:left w:w="90" w:type="dxa"/>
              <w:right w:w="90" w:type="dxa"/>
            </w:tcMar>
          </w:tcPr>
          <w:p>
            <w:r>
              <w:rPr>
                <w:sz w:val="19"/>
              </w:rPr>
              <w:t>Modern React development favors native browser fetch and state-driven single-page views over unnecessary third-party bloat.</w:t>
            </w:r>
          </w:p>
        </w:tc>
      </w:tr>
      <w:tr>
        <w:tc>
          <w:tcPr>
            <w:tcW w:type="dxa" w:w="1872"/>
            <w:shd w:fill="F8FAFC"/>
            <w:tcMar>
              <w:top w:w="80" w:type="dxa"/>
              <w:bottom w:w="80" w:type="dxa"/>
              <w:left w:w="90" w:type="dxa"/>
              <w:right w:w="90" w:type="dxa"/>
            </w:tcMar>
          </w:tcPr>
          <w:p>
            <w:r>
              <w:rPr>
                <w:b/>
                <w:sz w:val="19"/>
              </w:rPr>
              <w:t>LangChain Architecture</w:t>
            </w:r>
          </w:p>
        </w:tc>
        <w:tc>
          <w:tcPr>
            <w:tcW w:type="dxa" w:w="2592"/>
            <w:shd w:fill="F8FAFC"/>
            <w:tcMar>
              <w:top w:w="80" w:type="dxa"/>
              <w:bottom w:w="80" w:type="dxa"/>
              <w:left w:w="90" w:type="dxa"/>
              <w:right w:w="90" w:type="dxa"/>
            </w:tcMar>
          </w:tcPr>
          <w:p>
            <w:r>
              <w:rPr>
                <w:sz w:val="19"/>
              </w:rPr>
              <w:t>Legacy ConversationalRetrievalChain and ConversationBufferMemory (Listing 4.2).</w:t>
            </w:r>
          </w:p>
        </w:tc>
        <w:tc>
          <w:tcPr>
            <w:tcW w:type="dxa" w:w="2592"/>
            <w:shd w:fill="F8FAFC"/>
            <w:tcMar>
              <w:top w:w="80" w:type="dxa"/>
              <w:bottom w:w="80" w:type="dxa"/>
              <w:left w:w="90" w:type="dxa"/>
              <w:right w:w="90" w:type="dxa"/>
            </w:tcMar>
          </w:tcPr>
          <w:p>
            <w:r>
              <w:rPr>
                <w:sz w:val="19"/>
              </w:rPr>
              <w:t>Modern LangChain LCEL (RunnableLambda, ChatPromptTemplate, ChatMessageHistory).</w:t>
            </w:r>
          </w:p>
        </w:tc>
        <w:tc>
          <w:tcPr>
            <w:tcW w:type="dxa" w:w="3024"/>
            <w:shd w:fill="F8FAFC"/>
            <w:tcMar>
              <w:top w:w="80" w:type="dxa"/>
              <w:bottom w:w="80" w:type="dxa"/>
              <w:left w:w="90" w:type="dxa"/>
              <w:right w:w="90" w:type="dxa"/>
            </w:tcMar>
          </w:tcPr>
          <w:p>
            <w:r>
              <w:rPr>
                <w:sz w:val="19"/>
              </w:rPr>
              <w:t>LangChain 1.x deprecated the old chain classes; LCEL is the official, high-performance successor with identical I/O.</w:t>
            </w:r>
          </w:p>
        </w:tc>
      </w:tr>
    </w:tbl>
    <w:p/>
    <w:p>
      <w:pPr>
        <w:keepNext/>
        <w:spacing w:before="240" w:after="80"/>
      </w:pPr>
      <w:r>
        <w:rPr>
          <w:rFonts w:ascii="Arial" w:hAnsi="Arial"/>
          <w:b/>
          <w:color w:val="007A8C"/>
          <w:sz w:val="26"/>
        </w:rPr>
        <w:t>1.1 In-Depth Breakdown of Differences</w:t>
      </w:r>
    </w:p>
    <w:p>
      <w:pPr>
        <w:keepNext/>
        <w:spacing w:before="160" w:after="40"/>
      </w:pPr>
      <w:r>
        <w:rPr>
          <w:rFonts w:ascii="Calibri" w:hAnsi="Calibri"/>
          <w:b/>
          <w:color w:val="282828"/>
          <w:sz w:val="23"/>
        </w:rPr>
        <w:t>Database Layer: MongoDB vs. LocalStorage</w:t>
      </w:r>
    </w:p>
    <w:p>
      <w:r>
        <w:t>In the report (Chapters 3 &amp; 4), MongoDB is architected as the central persistence store for student credentials, learning archetype results, and historical test scores. In the prototype, this was replaced with browser localStorage. When the user finishes a test, results are saved in localStorage and passed to the backend analytical endpoints (/api/reports/knowledge-points and /api/reports/forgetting-curve-data). This allowed the prototype to run completely serverless in the persistence layer while maintaining identical analytical calculations.</w:t>
      </w:r>
    </w:p>
    <w:p>
      <w:pPr>
        <w:keepNext/>
        <w:spacing w:before="160" w:after="40"/>
      </w:pPr>
      <w:r>
        <w:rPr>
          <w:rFonts w:ascii="Calibri" w:hAnsi="Calibri"/>
          <w:b/>
          <w:color w:val="282828"/>
          <w:sz w:val="23"/>
        </w:rPr>
        <w:t>LLM Engine: Cloud OpenRouter (Kimi) vs. Local Ollama (Mistral)</w:t>
      </w:r>
    </w:p>
    <w:p>
      <w:r>
        <w:t>The project report describes Kimi LLM via OpenRouter API. In the working prototype, the backend was adapted to run on local Ollama with mistral:latest at http://localhost:11434/v1. The system retains OpenRouter integration in App.tsx for text summarization. Switching the main RAG and question generator to Ollama allows the entire system to function completely offline without API token exhaustion or third-party service fees.</w:t>
      </w:r>
    </w:p>
    <w:p>
      <w:pPr>
        <w:keepNext/>
        <w:spacing w:before="160" w:after="40"/>
      </w:pPr>
      <w:r>
        <w:rPr>
          <w:rFonts w:ascii="Calibri" w:hAnsi="Calibri"/>
          <w:b/>
          <w:color w:val="282828"/>
          <w:sz w:val="23"/>
        </w:rPr>
        <w:t>LangChain Framework Migration (Legacy Chains to Modern LCEL)</w:t>
      </w:r>
    </w:p>
    <w:p>
      <w:r>
        <w:t>Listing 4.2 and Appendix A in the report showcase ConversationalRetrievalChain.from_llm() and ConversationBufferMemory. In modern LangChain (v1.x+), these classes were removed from langchain.chains. The codebase was updated to use LangChain Expression Language (LCEL) with ChatMessageHistory, RunnableLambda, and StrOutputParser. The external interface (accepting a question string and streaming response tokens over WebSockets) remained 100% identical.</w:t>
      </w:r>
    </w:p>
    <w:p>
      <w:pPr>
        <w:keepNext/>
        <w:spacing w:before="360" w:after="120"/>
      </w:pPr>
      <w:r>
        <w:rPr>
          <w:rFonts w:ascii="Arial" w:hAnsi="Arial"/>
          <w:b/>
          <w:color w:val="1B365D"/>
          <w:sz w:val="32"/>
        </w:rPr>
        <w:t>2. Comprehensive Project Explanation</w:t>
      </w:r>
    </w:p>
    <w:p>
      <w:pPr>
        <w:keepNext/>
        <w:spacing w:before="240" w:after="80"/>
      </w:pPr>
      <w:r>
        <w:rPr>
          <w:rFonts w:ascii="Arial" w:hAnsi="Arial"/>
          <w:b/>
          <w:color w:val="007A8C"/>
          <w:sz w:val="26"/>
        </w:rPr>
        <w:t>2.1 Concept and Core Objectives</w:t>
      </w:r>
    </w:p>
    <w:p>
      <w:r>
        <w:t>EduMind is designed to solve the 'one-size-fits-all' dilemma in modern education. Traditional study tools are fragmented: students use a passive PDF reader, a separate generic chatbot (which has no awareness of their specific course materials), and manual flashcard makers. EduMind combines document management, personalized RAG chat, automated cognitive test generation, and memory decay analytics into a unified single-page platform.</w:t>
      </w:r>
    </w:p>
    <w:p>
      <w:pPr>
        <w:keepNext/>
        <w:spacing w:before="240" w:after="80"/>
      </w:pPr>
      <w:r>
        <w:rPr>
          <w:rFonts w:ascii="Arial" w:hAnsi="Arial"/>
          <w:b/>
          <w:color w:val="007A8C"/>
          <w:sz w:val="26"/>
        </w:rPr>
        <w:t>2.2 The 4 Core Modules</w:t>
      </w:r>
    </w:p>
    <w:p>
      <w:pPr>
        <w:keepNext/>
        <w:spacing w:before="160" w:after="40"/>
      </w:pPr>
      <w:r>
        <w:rPr>
          <w:rFonts w:ascii="Calibri" w:hAnsi="Calibri"/>
          <w:b/>
          <w:color w:val="282828"/>
          <w:sz w:val="23"/>
        </w:rPr>
        <w:t>Module 1: Onboarding &amp; Learning Style Assessment</w:t>
      </w:r>
    </w:p>
    <w:p>
      <w:r>
        <w:t xml:space="preserve">When a student first logs in, a compulsory questionnaire evaluates their cognitive learning archetype according to the VARK framework: </w:t>
        <w:br/>
        <w:t>• Pictorial: Thrives on diagrams, visual schematics, and video demonstrations.</w:t>
        <w:br/>
        <w:t>• Vocal: Learns through auditory lectures, podcasts, and spoken explanations.</w:t>
        <w:br/>
        <w:t>• Kinesthetic: Grasps concepts best through hands-on practice, labs, and interactive problem solving.</w:t>
        <w:br/>
        <w:t>• Memorizer: Excels at retaining facts through structured repetition, summaries, and note reviewing.</w:t>
        <w:br/>
        <w:t>The backend assessment.py analyzes responses using frequency distribution and returns the detected style with a tailored description.</w:t>
      </w:r>
    </w:p>
    <w:p>
      <w:pPr>
        <w:keepNext/>
        <w:spacing w:before="160" w:after="40"/>
      </w:pPr>
      <w:r>
        <w:rPr>
          <w:rFonts w:ascii="Calibri" w:hAnsi="Calibri"/>
          <w:b/>
          <w:color w:val="282828"/>
          <w:sz w:val="23"/>
        </w:rPr>
        <w:t>Module 2: Document Ingestion &amp; RAG-Powered Conversational Engine</w:t>
      </w:r>
    </w:p>
    <w:p>
      <w:r>
        <w:t>Students upload course PDFs (textbooks, research papers, notes). The ingestion service (ingest.py) extracts text with pypdf, breaks content into 500-character semantic chunks with 50-character overlaps, and indexes them into Chroma DB using Hugging Face all-MiniLM-L6-v2 embeddings (384 dimensions). When a question is asked:</w:t>
        <w:br/>
        <w:t>1. Active Document Filtering: Queries can be filtered to search only selected PDFs using source metadata.</w:t>
        <w:br/>
        <w:t>2. Approximate Nearest Neighbor (ANN) Search: The most relevant document chunks are retrieved.</w:t>
        <w:br/>
        <w:t>3. WebSocket Streaming: Tokens are streamed in real time over ws://localhost:8000/ws/chat with session isolation, ensuring no context mixing occurs between different chat tabs.</w:t>
      </w:r>
    </w:p>
    <w:p>
      <w:pPr>
        <w:keepNext/>
        <w:spacing w:before="160" w:after="40"/>
      </w:pPr>
      <w:r>
        <w:rPr>
          <w:rFonts w:ascii="Calibri" w:hAnsi="Calibri"/>
          <w:b/>
          <w:color w:val="282828"/>
          <w:sz w:val="23"/>
        </w:rPr>
        <w:t>Module 3: Adaptive Cognitive MCQ Test Generator</w:t>
      </w:r>
    </w:p>
    <w:p>
      <w:r>
        <w:t>Rather than asking basic recall questions, EduMind's test generator (test_feature.py) constructs multiple-choice questions categorized across 4 distinct cognitive dimensions inspired by Bloom's Taxonomy:</w:t>
        <w:br/>
        <w:t>• Cognitive Memory: Testing direct recall of key definitions and principles.</w:t>
        <w:br/>
        <w:t>• Logical Reasoning: Deductive inference and cause-and-effect reasoning.</w:t>
        <w:br/>
        <w:t>• Critical Thinking: Evaluating trade-offs, limitations, and comparing concepts.</w:t>
        <w:br/>
        <w:t>• Creative Application: Applying theoretical knowledge to novel scenarios.</w:t>
        <w:br/>
        <w:t>The system enforces exactly 4 options per question with one verifiable correct answer.</w:t>
      </w:r>
    </w:p>
    <w:p>
      <w:pPr>
        <w:keepNext/>
        <w:spacing w:before="160" w:after="40"/>
      </w:pPr>
      <w:r>
        <w:rPr>
          <w:rFonts w:ascii="Calibri" w:hAnsi="Calibri"/>
          <w:b/>
          <w:color w:val="282828"/>
          <w:sz w:val="23"/>
        </w:rPr>
        <w:t>Module 4: Performance Analytics &amp; Ebbinghaus Forgetting Curve</w:t>
      </w:r>
    </w:p>
    <w:p>
      <w:r>
        <w:t>EduMind provides an intelligent 'fitness tracker for the mind' via reports_feature.py and ReportsFeature.tsx:</w:t>
        <w:br/>
        <w:t>• Knowledge Points &amp; Tiers: Awards 10 points per correct answer and 100 points per completed test, ranking users as Beginner (&lt;= 1500 pts), Intermediate (&lt;= 4000 pts), or Expert (&gt; 4000 pts).</w:t>
        <w:br/>
        <w:t>• Ebbinghaus Forgetting Curve: Mathematical prediction of memory retention over 30 days based on test score:</w:t>
        <w:br/>
      </w:r>
    </w:p>
    <w:p>
      <w:pPr>
        <w:jc w:val="center"/>
      </w:pPr>
      <w:r>
        <w:rPr>
          <w:b/>
          <w:color w:val="1B365D"/>
          <w:sz w:val="24"/>
        </w:rPr>
        <w:t>R(t) = R₀ · e^(-t / S)</w:t>
      </w:r>
    </w:p>
    <w:p>
      <w:r>
        <w:t>Where R₀ is the initial test score, t is time in days, and S is memory strength (S = 5 + R₀ / 10). Interactive Chart.js radar, bar, and trajectory charts visually highlight a student's cognitive weak spots.</w:t>
      </w:r>
    </w:p>
    <w:p>
      <w:pPr>
        <w:keepNext/>
        <w:spacing w:before="360" w:after="120"/>
      </w:pPr>
      <w:r>
        <w:rPr>
          <w:rFonts w:ascii="Arial" w:hAnsi="Arial"/>
          <w:b/>
          <w:color w:val="1B365D"/>
          <w:sz w:val="32"/>
        </w:rPr>
        <w:t>3. In-Depth Project File Structure</w:t>
      </w:r>
    </w:p>
    <w:p>
      <w:r>
        <w:t>The repository is organized into a clean decoupled architecture separating the React TypeScript frontend from the FastAPI Python backend.</w:t>
      </w:r>
    </w:p>
    <w:tbl>
      <w:tblPr>
        <w:tblW w:type="auto" w:w="0"/>
        <w:jc w:val="center"/>
        <w:tblLook w:firstColumn="1" w:firstRow="1" w:lastColumn="0" w:lastRow="0" w:noHBand="0" w:noVBand="1" w:val="04A0"/>
      </w:tblPr>
      <w:tblGrid>
        <w:gridCol w:w="9936"/>
      </w:tblGrid>
      <w:tr>
        <w:tc>
          <w:tcPr>
            <w:tcW w:type="dxa" w:w="9936"/>
            <w:shd w:fill="2D3748"/>
            <w:tcMar>
              <w:top w:w="100" w:type="dxa"/>
              <w:bottom w:w="100" w:type="dxa"/>
              <w:left w:w="150" w:type="dxa"/>
              <w:right w:w="150" w:type="dxa"/>
            </w:tcMar>
          </w:tcPr>
          <w:p>
            <w:pPr>
              <w:spacing w:after="0"/>
            </w:pPr>
            <w:r>
              <w:rPr>
                <w:rFonts w:ascii="Consolas" w:hAnsi="Consolas"/>
                <w:color w:val="F0F0F0"/>
                <w:sz w:val="17"/>
              </w:rPr>
              <w:t>C:\edumind prototype 2\</w:t>
              <w:br/>
              <w:t>├── .env.example              &lt;- Template for environment variables and API keys</w:t>
              <w:br/>
              <w:t>├── .gitignore                &lt;- Comprehensive rules excluding caches, PDFs, and secrets</w:t>
              <w:br/>
              <w:t>├── package.json              &lt;- Root scripts and workspace settings</w:t>
              <w:br/>
              <w:t>├── requirements.txt          &lt;- Python backend dependencies</w:t>
              <w:br/>
              <w:t>├── README.md                 &lt;- Project overview and setup documentation</w:t>
              <w:br/>
              <w:t>├── kimi-chat/                &lt;- Frontend Client (React 19 + TypeScript)</w:t>
              <w:br/>
              <w:t>│   ├── package.json          &lt;- Node dependencies (chart.js, lucide-react, react-markdown)</w:t>
              <w:br/>
              <w:t>│   ├── public/               &lt;- Static HTML templates and web manifest</w:t>
              <w:br/>
              <w:t>│   └── src/</w:t>
              <w:br/>
              <w:t>│       ├── App.tsx           &lt;- Core application controller, state &amp; chat interface</w:t>
              <w:br/>
              <w:t>│       ├── LoginPage.tsx     &lt;- User authentication and onboarding entry view</w:t>
              <w:br/>
              <w:t>│       ├── ReportsFeature.tsx&lt;- Analytics dashboard, Ebbinghaus curve &amp; Chart.js</w:t>
              <w:br/>
              <w:t>│       ├── TestFeature.tsx   &lt;- Interactive MCQ test taking and scoring modal</w:t>
              <w:br/>
              <w:t>│       ├── ChatMessage.tsx   &lt;- Individual chat bubble component</w:t>
              <w:br/>
              <w:t>│       ├── LoadingIndicator.tsx &lt;- Typing and streaming indicator</w:t>
              <w:br/>
              <w:t>│       └── components/       &lt;- Supplementary subcomponents (Assessment, Chatbot)</w:t>
              <w:br/>
              <w:t>└── scripts/                  &lt;- Backend Application Layer (Python FastAPI)</w:t>
              <w:br/>
              <w:t xml:space="preserve">    ├── api.py                &lt;- FastAPI app, REST endpoints, CORS &amp; lifespan</w:t>
              <w:br/>
              <w:t xml:space="preserve">    ├── assessment.py         &lt;- Learning style assessment logic &amp; questions</w:t>
              <w:br/>
              <w:t xml:space="preserve">    ├── chatbot.py            &lt;- LangChain LCEL RAG chain assembly</w:t>
              <w:br/>
              <w:t xml:space="preserve">    ├── config.py             &lt;- Embeddings, local Ollama LLM, and prompt templates</w:t>
              <w:br/>
              <w:t xml:space="preserve">    ├── ingest.py             &lt;- PDF text extraction, chunking, and Chroma DB ingestion</w:t>
              <w:br/>
              <w:t xml:space="preserve">    ├── reports_feature.py    &lt;- Scoring logic, tier calculation &amp; Ebbinghaus curve</w:t>
              <w:br/>
              <w:t xml:space="preserve">    ├── test_feature.py       &lt;- Cognitive-categorized MCQ test generation with LLM</w:t>
              <w:br/>
              <w:t xml:space="preserve">    ├── vector_store.py       &lt;- Chroma DB PersistentClient and filtered retriever</w:t>
              <w:br/>
              <w:t xml:space="preserve">    ├── websocket_chat.py     &lt;- Real-time WebSocket token streaming with session memory</w:t>
              <w:br/>
              <w:t xml:space="preserve">    └── data/                 &lt;- Storage directory for uploaded user PDF documents</w:t>
              <w:br/>
            </w:r>
          </w:p>
        </w:tc>
      </w:tr>
    </w:tbl>
    <w:p/>
    <w:p>
      <w:pPr>
        <w:keepNext/>
        <w:spacing w:before="240" w:after="80"/>
      </w:pPr>
      <w:r>
        <w:rPr>
          <w:rFonts w:ascii="Arial" w:hAnsi="Arial"/>
          <w:b/>
          <w:color w:val="007A8C"/>
          <w:sz w:val="26"/>
        </w:rPr>
        <w:t>3.1 Detailed Description of Backend Files</w:t>
      </w:r>
    </w:p>
    <w:p>
      <w:r>
        <w:rPr>
          <w:b/>
          <w:color w:val="1B365D"/>
        </w:rPr>
        <w:t xml:space="preserve">• scripts/api.py: </w:t>
      </w:r>
      <w:r>
        <w:t>Main FastAPI server entrypoint. Manages application lifespan, registers API routers (assessment, reports, websockets), handles PDF file uploads (/upload-document/), document deletion, and lists available files.</w:t>
      </w:r>
    </w:p>
    <w:p>
      <w:r>
        <w:rPr>
          <w:b/>
          <w:color w:val="1B365D"/>
        </w:rPr>
        <w:t xml:space="preserve">• scripts/assessment.py: </w:t>
      </w:r>
      <w:r>
        <w:t>Contains the static 10-question VARK learning style questionnaire and scoring algorithm (evaluate_answers). Determines dominant learner type via frequency counter.</w:t>
      </w:r>
    </w:p>
    <w:p>
      <w:r>
        <w:rPr>
          <w:b/>
          <w:color w:val="1B365D"/>
        </w:rPr>
        <w:t xml:space="preserve">• scripts/config.py: </w:t>
      </w:r>
      <w:r>
        <w:t>Central configuration module. Initializes HuggingFace embeddings (all-MiniLM-L6-v2), points ChatOpenAI to the local Ollama instance (http://localhost:11434/v1 with model mistral), and formats the base RAG system prompt.</w:t>
      </w:r>
    </w:p>
    <w:p>
      <w:r>
        <w:rPr>
          <w:b/>
          <w:color w:val="1B365D"/>
        </w:rPr>
        <w:t xml:space="preserve">• scripts/vector_store.py: </w:t>
      </w:r>
      <w:r>
        <w:t>Manages the Chroma DB PersistentClient. Exposes initialize_vectorstore(), recreate_collection(), and get_retriever_with_filter() which applies metadata filtering ($in: active_documents).</w:t>
      </w:r>
    </w:p>
    <w:p>
      <w:r>
        <w:rPr>
          <w:b/>
          <w:color w:val="1B365D"/>
        </w:rPr>
        <w:t xml:space="preserve">• scripts/ingest.py: </w:t>
      </w:r>
      <w:r>
        <w:t>Handles PDF processing. Loads files via PyPDFLoader, partitions text using RecursiveCharacterTextSplitter (chunk_size=500, overlap=50), attaches source metadata, and persists embeddings in Chroma.</w:t>
      </w:r>
    </w:p>
    <w:p>
      <w:r>
        <w:rPr>
          <w:b/>
          <w:color w:val="1B365D"/>
        </w:rPr>
        <w:t xml:space="preserve">• scripts/websocket_chat.py: </w:t>
      </w:r>
      <w:r>
        <w:t>WebSocket controller for /ws/chat. Receives JSON payloads, isolates session memory using ChatMessageHistory, triggers the LCEL streaming chain, and transmits tokens one-by-one to the client.</w:t>
      </w:r>
    </w:p>
    <w:p>
      <w:r>
        <w:rPr>
          <w:b/>
          <w:color w:val="1B365D"/>
        </w:rPr>
        <w:t xml:space="preserve">• scripts/chatbot.py: </w:t>
      </w:r>
      <w:r>
        <w:t>Defines the LCEL chain construction using RunnableLambda. Merges document context, past session messages, and the current user question into the prompt template.</w:t>
      </w:r>
    </w:p>
    <w:p>
      <w:r>
        <w:rPr>
          <w:b/>
          <w:color w:val="1B365D"/>
        </w:rPr>
        <w:t xml:space="preserve">• scripts/test_feature.py: </w:t>
      </w:r>
      <w:r>
        <w:t>Orchestrates AI-driven test creation. Sends structured JSON prompts to Ollama to generate 4-choice questions across Cognitive Memory, Logical Reasoning, Critical Thinking, and Creative Application.</w:t>
      </w:r>
    </w:p>
    <w:p>
      <w:r>
        <w:rPr>
          <w:b/>
          <w:color w:val="1B365D"/>
        </w:rPr>
        <w:t xml:space="preserve">• scripts/reports_feature.py: </w:t>
      </w:r>
      <w:r>
        <w:t>FastAPI router calculating student knowledge points, rank tiers (Beginner/Intermediate/Expert), and the 30-day Ebbinghaus forgetting curve mathematical points.</w:t>
      </w:r>
    </w:p>
    <w:p>
      <w:pPr>
        <w:keepNext/>
        <w:spacing w:before="240" w:after="80"/>
      </w:pPr>
      <w:r>
        <w:rPr>
          <w:rFonts w:ascii="Arial" w:hAnsi="Arial"/>
          <w:b/>
          <w:color w:val="007A8C"/>
          <w:sz w:val="26"/>
        </w:rPr>
        <w:t>3.2 Detailed Description of Frontend Files</w:t>
      </w:r>
    </w:p>
    <w:p>
      <w:r>
        <w:rPr>
          <w:b/>
          <w:color w:val="007A8C"/>
        </w:rPr>
        <w:t xml:space="preserve">• kimi-chat/src/App.tsx: </w:t>
      </w:r>
      <w:r>
        <w:t>The heart of the React client. Coordinates navigation tabs (Chat, Test, Reports), maintains multiple independent chat sessions, manages uploaded document checkboxes, and handles WebSocket connectivity.</w:t>
      </w:r>
    </w:p>
    <w:p>
      <w:r>
        <w:rPr>
          <w:b/>
          <w:color w:val="007A8C"/>
        </w:rPr>
        <w:t xml:space="preserve">• kimi-chat/src/LoginPage.tsx: </w:t>
      </w:r>
      <w:r>
        <w:t>Rendered during unauthenticated state. Provides a professional login and registration card, directing users into the compulsory learning style onboarding on first entry.</w:t>
      </w:r>
    </w:p>
    <w:p>
      <w:r>
        <w:rPr>
          <w:b/>
          <w:color w:val="007A8C"/>
        </w:rPr>
        <w:t xml:space="preserve">• kimi-chat/src/ReportsFeature.tsx: </w:t>
      </w:r>
      <w:r>
        <w:t>The analytical dashboard. Consumes performance records from localStorage, invokes the backend analytics API, and renders interactive Chart.js line, radar, and trajectory graphs.</w:t>
      </w:r>
    </w:p>
    <w:p>
      <w:r>
        <w:rPr>
          <w:b/>
          <w:color w:val="007A8C"/>
        </w:rPr>
        <w:t xml:space="preserve">• kimi-chat/src/TestFeature.tsx: </w:t>
      </w:r>
      <w:r>
        <w:t>Presents generated MCQ tests in an interactive modal. Tracks user selections, evaluates right/wrong answers upon completion, calculates category percentages, and updates local performance history.</w:t>
      </w:r>
    </w:p>
    <w:p>
      <w:r>
        <w:rPr>
          <w:b/>
          <w:color w:val="007A8C"/>
        </w:rPr>
        <w:t xml:space="preserve">• kimi-chat/src/LoadingIndicator.tsx: </w:t>
      </w:r>
      <w:r>
        <w:t>Renders a subtle animated typing indicator while the LLM generates tokens.</w:t>
      </w:r>
    </w:p>
    <w:p>
      <w:r>
        <w:rPr>
          <w:b/>
          <w:color w:val="007A8C"/>
        </w:rPr>
        <w:t xml:space="preserve">• kimi-chat/src/ChatMessage.tsx: </w:t>
      </w:r>
      <w:r>
        <w:t>Formats user queries and AI responses using react-markdown to support syntax formatting, lists, and bold text.</w:t>
      </w:r>
    </w:p>
    <w:p>
      <w:pPr>
        <w:keepNext/>
        <w:spacing w:before="360" w:after="120"/>
      </w:pPr>
      <w:r>
        <w:rPr>
          <w:rFonts w:ascii="Arial" w:hAnsi="Arial"/>
          <w:b/>
          <w:color w:val="1B365D"/>
          <w:sz w:val="32"/>
        </w:rPr>
        <w:t>4. How to Run and Test the Project</w:t>
      </w:r>
    </w:p>
    <w:p>
      <w:r>
        <w:t>Follow these three steps in separate terminal windows to launch the complete working system:</w:t>
      </w:r>
    </w:p>
    <w:p>
      <w:pPr>
        <w:keepNext/>
        <w:spacing w:before="240" w:after="80"/>
      </w:pPr>
      <w:r>
        <w:rPr>
          <w:rFonts w:ascii="Arial" w:hAnsi="Arial"/>
          <w:b/>
          <w:color w:val="007A8C"/>
          <w:sz w:val="26"/>
        </w:rPr>
        <w:t>Step 1: Start Ollama LLM Service</w:t>
      </w:r>
    </w:p>
    <w:tbl>
      <w:tblPr>
        <w:tblW w:type="auto" w:w="0"/>
        <w:jc w:val="center"/>
        <w:tblLook w:firstColumn="1" w:firstRow="1" w:lastColumn="0" w:lastRow="0" w:noHBand="0" w:noVBand="1" w:val="04A0"/>
      </w:tblPr>
      <w:tblGrid>
        <w:gridCol w:w="9936"/>
      </w:tblGrid>
      <w:tr>
        <w:tc>
          <w:tcPr>
            <w:tcW w:type="dxa" w:w="9936"/>
            <w:shd w:fill="F4F6F9"/>
            <w:tcMar>
              <w:top w:w="60" w:type="dxa"/>
              <w:bottom w:w="60" w:type="dxa"/>
              <w:left w:w="100" w:type="dxa"/>
              <w:right w:w="100" w:type="dxa"/>
            </w:tcMar>
          </w:tcPr>
          <w:p>
            <w:pPr>
              <w:spacing w:after="0"/>
            </w:pPr>
            <w:r>
              <w:rPr>
                <w:rFonts w:ascii="Consolas" w:hAnsi="Consolas"/>
                <w:sz w:val="19"/>
              </w:rPr>
              <w:t>Ensure Ollama is installed and run the local Mistral model in PowerShell:</w:t>
              <w:br/>
              <w:t>ollama run mistral</w:t>
            </w:r>
          </w:p>
        </w:tc>
      </w:tr>
    </w:tbl>
    <w:p/>
    <w:p>
      <w:pPr>
        <w:keepNext/>
        <w:spacing w:before="240" w:after="80"/>
      </w:pPr>
      <w:r>
        <w:rPr>
          <w:rFonts w:ascii="Arial" w:hAnsi="Arial"/>
          <w:b/>
          <w:color w:val="007A8C"/>
          <w:sz w:val="26"/>
        </w:rPr>
        <w:t>Step 2: Start FastAPI Backend Server</w:t>
      </w:r>
    </w:p>
    <w:tbl>
      <w:tblPr>
        <w:tblW w:type="auto" w:w="0"/>
        <w:jc w:val="center"/>
        <w:tblLook w:firstColumn="1" w:firstRow="1" w:lastColumn="0" w:lastRow="0" w:noHBand="0" w:noVBand="1" w:val="04A0"/>
      </w:tblPr>
      <w:tblGrid>
        <w:gridCol w:w="9936"/>
      </w:tblGrid>
      <w:tr>
        <w:tc>
          <w:tcPr>
            <w:tcW w:type="dxa" w:w="9936"/>
            <w:shd w:fill="F4F6F9"/>
            <w:tcMar>
              <w:top w:w="60" w:type="dxa"/>
              <w:bottom w:w="60" w:type="dxa"/>
              <w:left w:w="100" w:type="dxa"/>
              <w:right w:w="100" w:type="dxa"/>
            </w:tcMar>
          </w:tcPr>
          <w:p>
            <w:pPr>
              <w:spacing w:after="0"/>
            </w:pPr>
            <w:r>
              <w:rPr>
                <w:rFonts w:ascii="Consolas" w:hAnsi="Consolas"/>
                <w:sz w:val="19"/>
              </w:rPr>
              <w:t>Navigate to the project root and launch Uvicorn:</w:t>
              <w:br/>
              <w:t>cd "C:\edumind prototype 2"</w:t>
              <w:br/>
              <w:t>python -m uvicorn scripts.api:app --reload --port 8000</w:t>
            </w:r>
          </w:p>
        </w:tc>
      </w:tr>
    </w:tbl>
    <w:p/>
    <w:p>
      <w:pPr>
        <w:keepNext/>
        <w:spacing w:before="240" w:after="80"/>
      </w:pPr>
      <w:r>
        <w:rPr>
          <w:rFonts w:ascii="Arial" w:hAnsi="Arial"/>
          <w:b/>
          <w:color w:val="007A8C"/>
          <w:sz w:val="26"/>
        </w:rPr>
        <w:t>Step 3: Start React Frontend Application</w:t>
      </w:r>
    </w:p>
    <w:tbl>
      <w:tblPr>
        <w:tblW w:type="auto" w:w="0"/>
        <w:jc w:val="center"/>
        <w:tblLook w:firstColumn="1" w:firstRow="1" w:lastColumn="0" w:lastRow="0" w:noHBand="0" w:noVBand="1" w:val="04A0"/>
      </w:tblPr>
      <w:tblGrid>
        <w:gridCol w:w="9936"/>
      </w:tblGrid>
      <w:tr>
        <w:tc>
          <w:tcPr>
            <w:tcW w:type="dxa" w:w="9936"/>
            <w:shd w:fill="F4F6F9"/>
            <w:tcMar>
              <w:top w:w="60" w:type="dxa"/>
              <w:bottom w:w="60" w:type="dxa"/>
              <w:left w:w="100" w:type="dxa"/>
              <w:right w:w="100" w:type="dxa"/>
            </w:tcMar>
          </w:tcPr>
          <w:p>
            <w:pPr>
              <w:spacing w:after="0"/>
            </w:pPr>
            <w:r>
              <w:rPr>
                <w:rFonts w:ascii="Consolas" w:hAnsi="Consolas"/>
                <w:sz w:val="19"/>
              </w:rPr>
              <w:t>In a third terminal, launch the React development server:</w:t>
              <w:br/>
              <w:t>cd "C:\edumind prototype 2\kimi-chat"</w:t>
              <w:br/>
              <w:t>npm start</w:t>
              <w:br/>
              <w:t>The application will automatically open in your default browser at http://localhost:3000.</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