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023" w:rsidRPr="00185023" w:rsidRDefault="00185023" w:rsidP="001850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023">
        <w:rPr>
          <w:rFonts w:ascii="Times New Roman" w:eastAsia="Times New Roman" w:hAnsi="Times New Roman" w:cs="Times New Roman"/>
          <w:b/>
          <w:bCs/>
          <w:kern w:val="36"/>
          <w:sz w:val="48"/>
          <w:szCs w:val="48"/>
          <w:lang w:eastAsia="en-IN"/>
        </w:rPr>
        <w:t>I. Introduction</w:t>
      </w:r>
    </w:p>
    <w:p w:rsidR="00185023" w:rsidRPr="00185023" w:rsidRDefault="00185023" w:rsidP="001850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A. Motivation and Real-World Context</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In today’s data-driven world, governments, public agencies, and research institutions routinely publish large volumes of individual-level data to support transparency, policy evaluation, and socio-economic analysis. Examples include census releases, employment statistics, education outcomes, and workforce surveys made available through public data portals. Analysts and policymakers rely on such data to answer questions such as </w:t>
      </w:r>
      <w:r w:rsidRPr="00185023">
        <w:rPr>
          <w:rFonts w:ascii="Times New Roman" w:eastAsia="Times New Roman" w:hAnsi="Times New Roman" w:cs="Times New Roman"/>
          <w:i/>
          <w:iCs/>
          <w:sz w:val="24"/>
          <w:szCs w:val="24"/>
          <w:lang w:eastAsia="en-IN"/>
        </w:rPr>
        <w:t>which demographic groups are entering the workforce</w:t>
      </w:r>
      <w:r w:rsidRPr="00185023">
        <w:rPr>
          <w:rFonts w:ascii="Times New Roman" w:eastAsia="Times New Roman" w:hAnsi="Times New Roman" w:cs="Times New Roman"/>
          <w:sz w:val="24"/>
          <w:szCs w:val="24"/>
          <w:lang w:eastAsia="en-IN"/>
        </w:rPr>
        <w:t xml:space="preserve">, </w:t>
      </w:r>
      <w:r w:rsidRPr="00185023">
        <w:rPr>
          <w:rFonts w:ascii="Times New Roman" w:eastAsia="Times New Roman" w:hAnsi="Times New Roman" w:cs="Times New Roman"/>
          <w:i/>
          <w:iCs/>
          <w:sz w:val="24"/>
          <w:szCs w:val="24"/>
          <w:lang w:eastAsia="en-IN"/>
        </w:rPr>
        <w:t>how working hours vary across regions</w:t>
      </w:r>
      <w:r w:rsidRPr="00185023">
        <w:rPr>
          <w:rFonts w:ascii="Times New Roman" w:eastAsia="Times New Roman" w:hAnsi="Times New Roman" w:cs="Times New Roman"/>
          <w:sz w:val="24"/>
          <w:szCs w:val="24"/>
          <w:lang w:eastAsia="en-IN"/>
        </w:rPr>
        <w:t xml:space="preserve">, or </w:t>
      </w:r>
      <w:r w:rsidRPr="00185023">
        <w:rPr>
          <w:rFonts w:ascii="Times New Roman" w:eastAsia="Times New Roman" w:hAnsi="Times New Roman" w:cs="Times New Roman"/>
          <w:i/>
          <w:iCs/>
          <w:sz w:val="24"/>
          <w:szCs w:val="24"/>
          <w:lang w:eastAsia="en-IN"/>
        </w:rPr>
        <w:t>how education levels influence employment patterns</w:t>
      </w:r>
      <w:r w:rsidRPr="00185023">
        <w:rPr>
          <w:rFonts w:ascii="Times New Roman" w:eastAsia="Times New Roman" w:hAnsi="Times New Roman" w:cs="Times New Roman"/>
          <w:sz w:val="24"/>
          <w:szCs w:val="24"/>
          <w:lang w:eastAsia="en-IN"/>
        </w:rPr>
        <w:t>.</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However, releasing microdata in its raw form poses significant privacy risks, as individuals can often be re-identified through combinations of quasi-identifiers such as age, education, occupation, and location. Ensuring privacy while retaining analytical utility is therefore a fundamental challenge in public data publishing.</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Among existing privacy models,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-anonymity has emerged as a practical and widely accepted standard. A dataset satisfies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-anonymity if each record is indistinguishable from at least </w:t>
      </w:r>
      <w:r w:rsidRPr="00185023">
        <w:rPr>
          <w:rFonts w:ascii="Times New Roman" w:eastAsia="Times New Roman" w:hAnsi="Times New Roman" w:cs="Times New Roman"/>
          <w:i/>
          <w:iCs/>
          <w:sz w:val="24"/>
          <w:szCs w:val="24"/>
          <w:lang w:eastAsia="en-IN"/>
        </w:rPr>
        <w:t>k − 1</w:t>
      </w:r>
      <w:r w:rsidRPr="00185023">
        <w:rPr>
          <w:rFonts w:ascii="Times New Roman" w:eastAsia="Times New Roman" w:hAnsi="Times New Roman" w:cs="Times New Roman"/>
          <w:sz w:val="24"/>
          <w:szCs w:val="24"/>
          <w:lang w:eastAsia="en-IN"/>
        </w:rPr>
        <w:t xml:space="preserve"> other records with respect to a defined set of quasi-identifiers. In practice,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-anonymity is enforced through generalization and clustering of attribute values. Despite its simplicity and interpretability, achieving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-anonymity with low information loss—particularly for datasets containing both categorical and numerical attributes—remains a non-trivial problem.</w:t>
      </w:r>
    </w:p>
    <w:p w:rsidR="00185023" w:rsidRPr="00185023" w:rsidRDefault="00185023" w:rsidP="001850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B. Limitations of Existing k-Anonymization Methods</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 wide range of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-anonymization techniques have been proposed, including clustering-based, hierarchy-driven, optimization-based, and scalable or distributed approaches. Distance-based clustering methods, such as K-Means++–assisted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-anonymity and weighted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-member clustering, primarily optimize numerical similarity and treat categorical attributes as syntactic or encoded values. This often results in semantically unrelated categories being grouped together, significantly degrading categorical utility.</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Range-based partitioning approaches, such as Mondrian and its distributed variants, improve scalability and numerical efficiency by recursively splitting attribute ranges. However, these methods ignore semantic relationships among categorical values and tend to over-generalize categorical attributes, especially at large scales. Numerical optimization–oriented techniques, including segment tree–based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-anonymity, efficiently manage numerical attributes and support scalability, but treat categorical attributes as secondary and do not incorporate semantic clustering.</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 common limitation across these approaches is that </w:t>
      </w:r>
      <w:r w:rsidRPr="00185023">
        <w:rPr>
          <w:rFonts w:ascii="Times New Roman" w:eastAsia="Times New Roman" w:hAnsi="Times New Roman" w:cs="Times New Roman"/>
          <w:b/>
          <w:bCs/>
          <w:sz w:val="24"/>
          <w:szCs w:val="24"/>
          <w:lang w:eastAsia="en-IN"/>
        </w:rPr>
        <w:t>categorical semantics are either ignored during clustering or applied only after equivalence classes are formed</w:t>
      </w:r>
      <w:r w:rsidRPr="00185023">
        <w:rPr>
          <w:rFonts w:ascii="Times New Roman" w:eastAsia="Times New Roman" w:hAnsi="Times New Roman" w:cs="Times New Roman"/>
          <w:sz w:val="24"/>
          <w:szCs w:val="24"/>
          <w:lang w:eastAsia="en-IN"/>
        </w:rPr>
        <w:t>. As a result, anonymized datasets often lose meaningful semantic structure, reducing their usefulness for real-world analysis. Furthermore, many methods rely on heuristic or iterative optimization, lacking deterministic complexity guarantees or requiring distributed infrastructures to scale.</w:t>
      </w:r>
    </w:p>
    <w:p w:rsidR="00185023" w:rsidRPr="00185023" w:rsidRDefault="00185023" w:rsidP="001850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lastRenderedPageBreak/>
        <w:t>C. Semantic-First Perspective</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In practical analytical scenarios—such as government studies on youth employment, education trends, or </w:t>
      </w:r>
      <w:proofErr w:type="spellStart"/>
      <w:r w:rsidRPr="00185023">
        <w:rPr>
          <w:rFonts w:ascii="Times New Roman" w:eastAsia="Times New Roman" w:hAnsi="Times New Roman" w:cs="Times New Roman"/>
          <w:sz w:val="24"/>
          <w:szCs w:val="24"/>
          <w:lang w:eastAsia="en-IN"/>
        </w:rPr>
        <w:t>labor</w:t>
      </w:r>
      <w:proofErr w:type="spellEnd"/>
      <w:r w:rsidRPr="00185023">
        <w:rPr>
          <w:rFonts w:ascii="Times New Roman" w:eastAsia="Times New Roman" w:hAnsi="Times New Roman" w:cs="Times New Roman"/>
          <w:sz w:val="24"/>
          <w:szCs w:val="24"/>
          <w:lang w:eastAsia="en-IN"/>
        </w:rPr>
        <w:t>-force participation—semantic interpretability of categorical attributes is critical. Analysts are often interested in meaningful groupings such as employment sectors, education categories, or marital status groups, rather than arbitrary numerical clusters. Preserving these semantic relationships is essential for ensuring that anonymized data remains analytically valuable.</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Motivated by this observation, this work adopts a </w:t>
      </w:r>
      <w:r w:rsidRPr="00185023">
        <w:rPr>
          <w:rFonts w:ascii="Times New Roman" w:eastAsia="Times New Roman" w:hAnsi="Times New Roman" w:cs="Times New Roman"/>
          <w:b/>
          <w:bCs/>
          <w:sz w:val="24"/>
          <w:szCs w:val="24"/>
          <w:lang w:eastAsia="en-IN"/>
        </w:rPr>
        <w:t>semantic-first anonymization strategy</w:t>
      </w:r>
      <w:r w:rsidRPr="00185023">
        <w:rPr>
          <w:rFonts w:ascii="Times New Roman" w:eastAsia="Times New Roman" w:hAnsi="Times New Roman" w:cs="Times New Roman"/>
          <w:sz w:val="24"/>
          <w:szCs w:val="24"/>
          <w:lang w:eastAsia="en-IN"/>
        </w:rPr>
        <w:t>, where categorical semantics guide the clustering process itself rather than being enforced afterward. Semantic relationships encoded in Domain Generalization Hierarchies (DGHs) are explicitly leveraged to form semantically homogeneous clusters before numerical generalization is applied.</w:t>
      </w:r>
    </w:p>
    <w:p w:rsidR="00185023" w:rsidRPr="00185023" w:rsidRDefault="00185023" w:rsidP="001850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D. Overview of the Proposed Framework</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The proposed approach separates anonymization into two clearly defined phases: </w:t>
      </w:r>
      <w:r w:rsidRPr="00185023">
        <w:rPr>
          <w:rFonts w:ascii="Times New Roman" w:eastAsia="Times New Roman" w:hAnsi="Times New Roman" w:cs="Times New Roman"/>
          <w:b/>
          <w:bCs/>
          <w:sz w:val="24"/>
          <w:szCs w:val="24"/>
          <w:lang w:eastAsia="en-IN"/>
        </w:rPr>
        <w:t>semantic clustering</w:t>
      </w:r>
      <w:r w:rsidRPr="00185023">
        <w:rPr>
          <w:rFonts w:ascii="Times New Roman" w:eastAsia="Times New Roman" w:hAnsi="Times New Roman" w:cs="Times New Roman"/>
          <w:sz w:val="24"/>
          <w:szCs w:val="24"/>
          <w:lang w:eastAsia="en-IN"/>
        </w:rPr>
        <w:t xml:space="preserve"> and </w:t>
      </w:r>
      <w:r w:rsidRPr="00185023">
        <w:rPr>
          <w:rFonts w:ascii="Times New Roman" w:eastAsia="Times New Roman" w:hAnsi="Times New Roman" w:cs="Times New Roman"/>
          <w:b/>
          <w:bCs/>
          <w:sz w:val="24"/>
          <w:szCs w:val="24"/>
          <w:lang w:eastAsia="en-IN"/>
        </w:rPr>
        <w:t>numerical generalization</w:t>
      </w:r>
      <w:r w:rsidRPr="00185023">
        <w:rPr>
          <w:rFonts w:ascii="Times New Roman" w:eastAsia="Times New Roman" w:hAnsi="Times New Roman" w:cs="Times New Roman"/>
          <w:sz w:val="24"/>
          <w:szCs w:val="24"/>
          <w:lang w:eastAsia="en-IN"/>
        </w:rPr>
        <w:t>. First, records are clustered using level-wise, sibling-first generalization over combinations of categorical quasi-identifiers, guided by their respective DGHs. This ensures that equivalence classes are semantically coherent from the outset. Next, numerical attributes are generalized within each semantically homogeneous cluster using range-based techniques.</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Fig. X illustrates the overall flow of the proposed framework. The process begins with quasi-identifier extraction and DGH construction, followed by level-wise semantic clustering that enforces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-anonymity at each hierarchy level. Numerical generalization and information loss computation are then performed within the resulting clusters. This design decouples semantic preservation from numerical optimization and enables de</w:t>
      </w:r>
      <w:r w:rsidR="000F3056">
        <w:rPr>
          <w:rFonts w:ascii="Times New Roman" w:eastAsia="Times New Roman" w:hAnsi="Times New Roman" w:cs="Times New Roman"/>
          <w:sz w:val="24"/>
          <w:szCs w:val="24"/>
          <w:lang w:eastAsia="en-IN"/>
        </w:rPr>
        <w:t xml:space="preserve">terministic execution with near </w:t>
      </w:r>
      <w:r w:rsidRPr="00185023">
        <w:rPr>
          <w:rFonts w:ascii="Times New Roman" w:eastAsia="Times New Roman" w:hAnsi="Times New Roman" w:cs="Times New Roman"/>
          <w:sz w:val="24"/>
          <w:szCs w:val="24"/>
          <w:lang w:eastAsia="en-IN"/>
        </w:rPr>
        <w:t>O(</w:t>
      </w:r>
      <w:proofErr w:type="spellStart"/>
      <w:r w:rsidRPr="00185023">
        <w:rPr>
          <w:rFonts w:ascii="Times New Roman" w:eastAsia="Times New Roman" w:hAnsi="Times New Roman" w:cs="Times New Roman"/>
          <w:sz w:val="24"/>
          <w:szCs w:val="24"/>
          <w:lang w:eastAsia="en-IN"/>
        </w:rPr>
        <w:t>nlogn</w:t>
      </w:r>
      <w:proofErr w:type="spellEnd"/>
      <w:r w:rsidRPr="00185023">
        <w:rPr>
          <w:rFonts w:ascii="Times New Roman" w:eastAsia="Times New Roman" w:hAnsi="Times New Roman" w:cs="Times New Roman"/>
          <w:sz w:val="24"/>
          <w:szCs w:val="24"/>
          <w:lang w:eastAsia="en-IN"/>
        </w:rPr>
        <w:t>) complexity.</w:t>
      </w:r>
    </w:p>
    <w:p w:rsidR="00185023" w:rsidRPr="00185023" w:rsidRDefault="00185023" w:rsidP="001850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023">
        <w:rPr>
          <w:rFonts w:ascii="Times New Roman" w:eastAsia="Times New Roman" w:hAnsi="Times New Roman" w:cs="Times New Roman"/>
          <w:b/>
          <w:bCs/>
          <w:sz w:val="36"/>
          <w:szCs w:val="36"/>
          <w:lang w:eastAsia="en-IN"/>
        </w:rPr>
        <w:t>E. Contributions</w:t>
      </w:r>
    </w:p>
    <w:p w:rsidR="00185023" w:rsidRPr="00185023" w:rsidRDefault="00185023" w:rsidP="00185023">
      <w:p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The main contributions of this work are summarized as follows:</w:t>
      </w:r>
    </w:p>
    <w:p w:rsidR="00185023" w:rsidRPr="00185023" w:rsidRDefault="00185023" w:rsidP="00185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 </w:t>
      </w:r>
      <w:r w:rsidRPr="00185023">
        <w:rPr>
          <w:rFonts w:ascii="Times New Roman" w:eastAsia="Times New Roman" w:hAnsi="Times New Roman" w:cs="Times New Roman"/>
          <w:b/>
          <w:bCs/>
          <w:sz w:val="24"/>
          <w:szCs w:val="24"/>
          <w:lang w:eastAsia="en-IN"/>
        </w:rPr>
        <w:t xml:space="preserve">semantic-first </w:t>
      </w:r>
      <w:r w:rsidRPr="00185023">
        <w:rPr>
          <w:rFonts w:ascii="Times New Roman" w:eastAsia="Times New Roman" w:hAnsi="Times New Roman" w:cs="Times New Roman"/>
          <w:b/>
          <w:bCs/>
          <w:i/>
          <w:iCs/>
          <w:sz w:val="24"/>
          <w:szCs w:val="24"/>
          <w:lang w:eastAsia="en-IN"/>
        </w:rPr>
        <w:t>k</w:t>
      </w:r>
      <w:r w:rsidRPr="00185023">
        <w:rPr>
          <w:rFonts w:ascii="Times New Roman" w:eastAsia="Times New Roman" w:hAnsi="Times New Roman" w:cs="Times New Roman"/>
          <w:b/>
          <w:bCs/>
          <w:sz w:val="24"/>
          <w:szCs w:val="24"/>
          <w:lang w:eastAsia="en-IN"/>
        </w:rPr>
        <w:t>-anonymization framework</w:t>
      </w:r>
      <w:r w:rsidRPr="00185023">
        <w:rPr>
          <w:rFonts w:ascii="Times New Roman" w:eastAsia="Times New Roman" w:hAnsi="Times New Roman" w:cs="Times New Roman"/>
          <w:sz w:val="24"/>
          <w:szCs w:val="24"/>
          <w:lang w:eastAsia="en-IN"/>
        </w:rPr>
        <w:t xml:space="preserve"> that integrates DGH-guided clustering directly into the anonymization process.</w:t>
      </w:r>
    </w:p>
    <w:p w:rsidR="00185023" w:rsidRPr="00185023" w:rsidRDefault="00185023" w:rsidP="00185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 </w:t>
      </w:r>
      <w:r w:rsidRPr="00185023">
        <w:rPr>
          <w:rFonts w:ascii="Times New Roman" w:eastAsia="Times New Roman" w:hAnsi="Times New Roman" w:cs="Times New Roman"/>
          <w:b/>
          <w:bCs/>
          <w:sz w:val="24"/>
          <w:szCs w:val="24"/>
          <w:lang w:eastAsia="en-IN"/>
        </w:rPr>
        <w:t>level-wise, sibling-first clustering strategy</w:t>
      </w:r>
      <w:r w:rsidRPr="00185023">
        <w:rPr>
          <w:rFonts w:ascii="Times New Roman" w:eastAsia="Times New Roman" w:hAnsi="Times New Roman" w:cs="Times New Roman"/>
          <w:sz w:val="24"/>
          <w:szCs w:val="24"/>
          <w:lang w:eastAsia="en-IN"/>
        </w:rPr>
        <w:t xml:space="preserve"> over combinations of categorical quasi-identifiers to preserve semantic coherence.</w:t>
      </w:r>
    </w:p>
    <w:p w:rsidR="00185023" w:rsidRPr="00185023" w:rsidRDefault="00185023" w:rsidP="00185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 </w:t>
      </w:r>
      <w:r w:rsidRPr="00185023">
        <w:rPr>
          <w:rFonts w:ascii="Times New Roman" w:eastAsia="Times New Roman" w:hAnsi="Times New Roman" w:cs="Times New Roman"/>
          <w:b/>
          <w:bCs/>
          <w:sz w:val="24"/>
          <w:szCs w:val="24"/>
          <w:lang w:eastAsia="en-IN"/>
        </w:rPr>
        <w:t>decoupled anonymization design</w:t>
      </w:r>
      <w:r w:rsidRPr="00185023">
        <w:rPr>
          <w:rFonts w:ascii="Times New Roman" w:eastAsia="Times New Roman" w:hAnsi="Times New Roman" w:cs="Times New Roman"/>
          <w:sz w:val="24"/>
          <w:szCs w:val="24"/>
          <w:lang w:eastAsia="en-IN"/>
        </w:rPr>
        <w:t xml:space="preserve"> that performs numerical generalization only within semantically homogeneous clusters.</w:t>
      </w:r>
    </w:p>
    <w:p w:rsidR="00185023" w:rsidRPr="00185023" w:rsidRDefault="00185023" w:rsidP="00185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An </w:t>
      </w:r>
      <w:r w:rsidRPr="00185023">
        <w:rPr>
          <w:rFonts w:ascii="Times New Roman" w:eastAsia="Times New Roman" w:hAnsi="Times New Roman" w:cs="Times New Roman"/>
          <w:b/>
          <w:bCs/>
          <w:sz w:val="24"/>
          <w:szCs w:val="24"/>
          <w:lang w:eastAsia="en-IN"/>
        </w:rPr>
        <w:t>efficient and deterministic implementation</w:t>
      </w:r>
      <w:r w:rsidRPr="00185023">
        <w:rPr>
          <w:rFonts w:ascii="Times New Roman" w:eastAsia="Times New Roman" w:hAnsi="Times New Roman" w:cs="Times New Roman"/>
          <w:sz w:val="24"/>
          <w:szCs w:val="24"/>
          <w:lang w:eastAsia="en-IN"/>
        </w:rPr>
        <w:t xml:space="preserve"> that </w:t>
      </w:r>
      <w:r w:rsidR="000B1836" w:rsidRPr="00975917">
        <w:rPr>
          <w:rFonts w:ascii="Times New Roman" w:hAnsi="Times New Roman" w:cs="Times New Roman"/>
          <w:sz w:val="24"/>
          <w:szCs w:val="24"/>
        </w:rPr>
        <w:t>scales to one-million-record datasets within a few seconds on commodity hardware, as demonstrated in the experimental evaluation.</w:t>
      </w:r>
    </w:p>
    <w:p w:rsidR="00185023" w:rsidRPr="00185023" w:rsidRDefault="00185023" w:rsidP="001850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5023">
        <w:rPr>
          <w:rFonts w:ascii="Times New Roman" w:eastAsia="Times New Roman" w:hAnsi="Times New Roman" w:cs="Times New Roman"/>
          <w:sz w:val="24"/>
          <w:szCs w:val="24"/>
          <w:lang w:eastAsia="en-IN"/>
        </w:rPr>
        <w:t xml:space="preserve">A comprehensive experimental evaluation demonstrating lower categorical information loss and stable </w:t>
      </w:r>
      <w:proofErr w:type="spellStart"/>
      <w:r w:rsidRPr="00185023">
        <w:rPr>
          <w:rFonts w:ascii="Times New Roman" w:eastAsia="Times New Roman" w:hAnsi="Times New Roman" w:cs="Times New Roman"/>
          <w:sz w:val="24"/>
          <w:szCs w:val="24"/>
          <w:lang w:eastAsia="en-IN"/>
        </w:rPr>
        <w:t>behavior</w:t>
      </w:r>
      <w:proofErr w:type="spellEnd"/>
      <w:r w:rsidRPr="00185023">
        <w:rPr>
          <w:rFonts w:ascii="Times New Roman" w:eastAsia="Times New Roman" w:hAnsi="Times New Roman" w:cs="Times New Roman"/>
          <w:sz w:val="24"/>
          <w:szCs w:val="24"/>
          <w:lang w:eastAsia="en-IN"/>
        </w:rPr>
        <w:t xml:space="preserve"> across increasing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 values when compared to K-Means++–based anonymization, weighted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 xml:space="preserve">-member clustering, Distributed Mondrian, and segment tree–based </w:t>
      </w:r>
      <w:r w:rsidRPr="00185023">
        <w:rPr>
          <w:rFonts w:ascii="Times New Roman" w:eastAsia="Times New Roman" w:hAnsi="Times New Roman" w:cs="Times New Roman"/>
          <w:i/>
          <w:iCs/>
          <w:sz w:val="24"/>
          <w:szCs w:val="24"/>
          <w:lang w:eastAsia="en-IN"/>
        </w:rPr>
        <w:t>k</w:t>
      </w:r>
      <w:r w:rsidRPr="00185023">
        <w:rPr>
          <w:rFonts w:ascii="Times New Roman" w:eastAsia="Times New Roman" w:hAnsi="Times New Roman" w:cs="Times New Roman"/>
          <w:sz w:val="24"/>
          <w:szCs w:val="24"/>
          <w:lang w:eastAsia="en-IN"/>
        </w:rPr>
        <w:t>-anonymity.</w:t>
      </w:r>
    </w:p>
    <w:p w:rsidR="00C1530F" w:rsidRDefault="00C1530F" w:rsidP="00C1530F">
      <w:r>
        <w:lastRenderedPageBreak/>
        <w:t>Load Dataset → Build QI Table</w:t>
      </w:r>
    </w:p>
    <w:p w:rsidR="00C1530F" w:rsidRDefault="00C1530F" w:rsidP="00C1530F">
      <w:r>
        <w:t>(Categorical + Numerical)</w:t>
      </w:r>
    </w:p>
    <w:p w:rsidR="00C1530F" w:rsidRDefault="00C1530F" w:rsidP="00C1530F">
      <w:r>
        <w:t xml:space="preserve">  |</w:t>
      </w:r>
    </w:p>
    <w:p w:rsidR="00C1530F" w:rsidRDefault="00C1530F" w:rsidP="00C1530F">
      <w:r>
        <w:t xml:space="preserve">  v</w:t>
      </w:r>
    </w:p>
    <w:p w:rsidR="00C1530F" w:rsidRDefault="00C1530F" w:rsidP="00C1530F">
      <w:r>
        <w:t>Compute Global Min–Max (Numerical QIs)</w:t>
      </w:r>
    </w:p>
    <w:p w:rsidR="00C1530F" w:rsidRDefault="00C1530F" w:rsidP="00C1530F">
      <w:r>
        <w:t>+ Append Distance Column</w:t>
      </w:r>
    </w:p>
    <w:p w:rsidR="00C1530F" w:rsidRDefault="00C1530F" w:rsidP="00C1530F">
      <w:r>
        <w:t xml:space="preserve">  |</w:t>
      </w:r>
    </w:p>
    <w:p w:rsidR="00C1530F" w:rsidRDefault="00C1530F" w:rsidP="00C1530F">
      <w:r>
        <w:t xml:space="preserve">  v</w:t>
      </w:r>
    </w:p>
    <w:p w:rsidR="00C1530F" w:rsidRDefault="00C1530F" w:rsidP="00C1530F">
      <w:r>
        <w:t>Extract Unique Categorical Values</w:t>
      </w:r>
    </w:p>
    <w:p w:rsidR="00C1530F" w:rsidRDefault="00C1530F" w:rsidP="00C1530F">
      <w:r>
        <w:t>+ Construct DGHs</w:t>
      </w:r>
    </w:p>
    <w:p w:rsidR="00C1530F" w:rsidRDefault="00C1530F" w:rsidP="00C1530F">
      <w:r>
        <w:t xml:space="preserve">+ Determine </w:t>
      </w:r>
      <w:proofErr w:type="spellStart"/>
      <w:r>
        <w:t>maxLevel</w:t>
      </w:r>
      <w:proofErr w:type="spellEnd"/>
    </w:p>
    <w:p w:rsidR="00C1530F" w:rsidRDefault="00C1530F" w:rsidP="00C1530F">
      <w:r>
        <w:t xml:space="preserve">  |</w:t>
      </w:r>
    </w:p>
    <w:p w:rsidR="00C1530F" w:rsidRDefault="00C1530F" w:rsidP="00C1530F">
      <w:r>
        <w:t xml:space="preserve">  v</w:t>
      </w:r>
    </w:p>
    <w:p w:rsidR="00C1530F" w:rsidRDefault="00C1530F" w:rsidP="00C1530F">
      <w:r>
        <w:t xml:space="preserve">FOR each k </w:t>
      </w:r>
      <w:r>
        <w:rPr>
          <w:rFonts w:ascii="Cambria Math" w:hAnsi="Cambria Math" w:cs="Cambria Math"/>
        </w:rPr>
        <w:t>∈</w:t>
      </w:r>
      <w:r>
        <w:t xml:space="preserve"> {5,10,20,30}</w:t>
      </w:r>
    </w:p>
    <w:p w:rsidR="00C1530F" w:rsidRDefault="00C1530F" w:rsidP="00C1530F">
      <w:r>
        <w:t xml:space="preserve">  |</w:t>
      </w:r>
    </w:p>
    <w:p w:rsidR="00C1530F" w:rsidRDefault="00C1530F" w:rsidP="00C1530F">
      <w:r>
        <w:t xml:space="preserve">  v</w:t>
      </w:r>
    </w:p>
    <w:p w:rsidR="00C1530F" w:rsidRDefault="00C1530F" w:rsidP="00C1530F">
      <w:r>
        <w:t>Restore QI Table → Start Timer</w:t>
      </w:r>
    </w:p>
    <w:p w:rsidR="00C1530F" w:rsidRDefault="00C1530F" w:rsidP="00C1530F">
      <w:r>
        <w:t xml:space="preserve">  |</w:t>
      </w:r>
    </w:p>
    <w:p w:rsidR="00C1530F" w:rsidRDefault="00C1530F" w:rsidP="00C1530F">
      <w:r>
        <w:t xml:space="preserve">  v</w:t>
      </w:r>
    </w:p>
    <w:p w:rsidR="00C1530F" w:rsidRDefault="00C1530F" w:rsidP="00C1530F">
      <w:r>
        <w:t>────────────────────────────────────</w:t>
      </w:r>
    </w:p>
    <w:p w:rsidR="00C1530F" w:rsidRDefault="00C1530F" w:rsidP="00C1530F">
      <w:r>
        <w:t>Proposed Semantic-First k-Anonymization</w:t>
      </w:r>
    </w:p>
    <w:p w:rsidR="00C1530F" w:rsidRDefault="00C1530F" w:rsidP="00C1530F">
      <w:r>
        <w:t>────────────────────────────────────</w:t>
      </w:r>
    </w:p>
    <w:p w:rsidR="00C1530F" w:rsidRDefault="00C1530F" w:rsidP="00C1530F">
      <w:r>
        <w:t xml:space="preserve">  |</w:t>
      </w:r>
    </w:p>
    <w:p w:rsidR="00C1530F" w:rsidRDefault="00C1530F" w:rsidP="00C1530F">
      <w:r>
        <w:t xml:space="preserve">  v</w:t>
      </w:r>
    </w:p>
    <w:p w:rsidR="00C1530F" w:rsidRDefault="00C1530F" w:rsidP="00C1530F">
      <w:r>
        <w:t>Level-Wise Semantic Clustering</w:t>
      </w:r>
    </w:p>
    <w:p w:rsidR="00C1530F" w:rsidRDefault="00C1530F" w:rsidP="00C1530F">
      <w:r>
        <w:t>(DGH-guided, sibling-first,</w:t>
      </w:r>
    </w:p>
    <w:p w:rsidR="00C1530F" w:rsidRDefault="00C1530F" w:rsidP="00C1530F">
      <w:r>
        <w:t>categorical QI combinations)</w:t>
      </w:r>
    </w:p>
    <w:p w:rsidR="00C1530F" w:rsidRDefault="00C1530F" w:rsidP="00C1530F">
      <w:r>
        <w:t xml:space="preserve">  |</w:t>
      </w:r>
    </w:p>
    <w:p w:rsidR="00C1530F" w:rsidRDefault="00C1530F" w:rsidP="00C1530F">
      <w:r>
        <w:t xml:space="preserve">  v</w:t>
      </w:r>
    </w:p>
    <w:p w:rsidR="00C1530F" w:rsidRDefault="00C1530F" w:rsidP="00C1530F">
      <w:r>
        <w:t>Semantically Homogeneous</w:t>
      </w:r>
    </w:p>
    <w:p w:rsidR="00C1530F" w:rsidRDefault="00C1530F" w:rsidP="00C1530F">
      <w:r>
        <w:t>Equivalence Classes</w:t>
      </w:r>
    </w:p>
    <w:p w:rsidR="00C1530F" w:rsidRDefault="00C1530F" w:rsidP="00C1530F">
      <w:r>
        <w:lastRenderedPageBreak/>
        <w:t xml:space="preserve">  |</w:t>
      </w:r>
    </w:p>
    <w:p w:rsidR="00C1530F" w:rsidRDefault="00C1530F" w:rsidP="00C1530F">
      <w:r>
        <w:t xml:space="preserve">  v</w:t>
      </w:r>
    </w:p>
    <w:p w:rsidR="00C1530F" w:rsidRDefault="00C1530F" w:rsidP="00C1530F">
      <w:r>
        <w:t>Numerical Generalization</w:t>
      </w:r>
    </w:p>
    <w:p w:rsidR="00C1530F" w:rsidRDefault="00C1530F" w:rsidP="00C1530F">
      <w:r>
        <w:t>(Min–Max ranges)</w:t>
      </w:r>
    </w:p>
    <w:p w:rsidR="00C1530F" w:rsidRDefault="00C1530F" w:rsidP="00C1530F">
      <w:r>
        <w:t xml:space="preserve">  |</w:t>
      </w:r>
    </w:p>
    <w:p w:rsidR="00C1530F" w:rsidRDefault="00C1530F" w:rsidP="00C1530F">
      <w:r>
        <w:t xml:space="preserve">  v</w:t>
      </w:r>
    </w:p>
    <w:p w:rsidR="00C1530F" w:rsidRDefault="00C1530F" w:rsidP="00C1530F">
      <w:r>
        <w:t>Compute Information Loss</w:t>
      </w:r>
    </w:p>
    <w:p w:rsidR="00C1530F" w:rsidRDefault="00C1530F" w:rsidP="00C1530F">
      <w:r>
        <w:t>(Numerical + Categorical → Total)</w:t>
      </w:r>
    </w:p>
    <w:p w:rsidR="00C1530F" w:rsidRDefault="00C1530F" w:rsidP="00C1530F">
      <w:r>
        <w:t xml:space="preserve">  |</w:t>
      </w:r>
    </w:p>
    <w:p w:rsidR="00C1530F" w:rsidRDefault="00C1530F" w:rsidP="00C1530F">
      <w:r>
        <w:t xml:space="preserve">  v</w:t>
      </w:r>
    </w:p>
    <w:p w:rsidR="00C1530F" w:rsidRDefault="00C1530F" w:rsidP="00C1530F">
      <w:r>
        <w:t>Stop Timer → Store Results</w:t>
      </w:r>
    </w:p>
    <w:p w:rsidR="00C1530F" w:rsidRDefault="00C1530F" w:rsidP="00C1530F">
      <w:r>
        <w:t>(k, Losses, Runtime)</w:t>
      </w:r>
    </w:p>
    <w:p w:rsidR="00C1530F" w:rsidRDefault="00C1530F" w:rsidP="00C1530F">
      <w:r>
        <w:t xml:space="preserve">  |</w:t>
      </w:r>
    </w:p>
    <w:p w:rsidR="00C1530F" w:rsidRDefault="00C1530F" w:rsidP="00C1530F">
      <w:r>
        <w:t xml:space="preserve">  v</w:t>
      </w:r>
    </w:p>
    <w:p w:rsidR="00C1530F" w:rsidRDefault="00C1530F" w:rsidP="00C1530F">
      <w:r>
        <w:t>END FOR</w:t>
      </w:r>
    </w:p>
    <w:p w:rsidR="00C1530F" w:rsidRDefault="00C1530F" w:rsidP="00C1530F">
      <w:r>
        <w:t xml:space="preserve">  |</w:t>
      </w:r>
    </w:p>
    <w:p w:rsidR="00C1530F" w:rsidRDefault="00C1530F" w:rsidP="00C1530F">
      <w:r>
        <w:t xml:space="preserve">  v</w:t>
      </w:r>
    </w:p>
    <w:p w:rsidR="006315FF" w:rsidRDefault="00C1530F" w:rsidP="00C1530F">
      <w:r>
        <w:t xml:space="preserve">Output Results Table </w:t>
      </w:r>
      <w:bookmarkStart w:id="0" w:name="_GoBack"/>
      <w:bookmarkEnd w:id="0"/>
    </w:p>
    <w:p w:rsidR="006315FF" w:rsidRPr="00BF4536" w:rsidRDefault="007760D0" w:rsidP="001D2184">
      <w:pPr>
        <w:rPr>
          <w:sz w:val="24"/>
          <w:szCs w:val="24"/>
        </w:rPr>
      </w:pPr>
      <w:r w:rsidRPr="00BF4536">
        <w:rPr>
          <w:rStyle w:val="Strong"/>
          <w:sz w:val="24"/>
          <w:szCs w:val="24"/>
        </w:rPr>
        <w:t>Fig. X.</w:t>
      </w:r>
      <w:r w:rsidRPr="00BF4536">
        <w:rPr>
          <w:sz w:val="24"/>
          <w:szCs w:val="24"/>
        </w:rPr>
        <w:t xml:space="preserve"> Compact flowchart of the proposed semantic-first </w:t>
      </w:r>
      <w:r w:rsidRPr="00BF4536">
        <w:rPr>
          <w:rStyle w:val="Emphasis"/>
          <w:sz w:val="24"/>
          <w:szCs w:val="24"/>
        </w:rPr>
        <w:t>k</w:t>
      </w:r>
      <w:r w:rsidRPr="00BF4536">
        <w:rPr>
          <w:sz w:val="24"/>
          <w:szCs w:val="24"/>
        </w:rPr>
        <w:t xml:space="preserve">-anonymization framework. </w:t>
      </w:r>
      <w:proofErr w:type="spellStart"/>
      <w:r w:rsidRPr="00BF4536">
        <w:rPr>
          <w:sz w:val="24"/>
          <w:szCs w:val="24"/>
        </w:rPr>
        <w:t>Preprocessing</w:t>
      </w:r>
      <w:proofErr w:type="spellEnd"/>
      <w:r w:rsidRPr="00BF4536">
        <w:rPr>
          <w:sz w:val="24"/>
          <w:szCs w:val="24"/>
        </w:rPr>
        <w:t xml:space="preserve"> steps include quasi-identifier extraction and DGH construction. For each </w:t>
      </w:r>
      <w:r w:rsidRPr="00BF4536">
        <w:rPr>
          <w:rStyle w:val="Emphasis"/>
          <w:sz w:val="24"/>
          <w:szCs w:val="24"/>
        </w:rPr>
        <w:t>k</w:t>
      </w:r>
      <w:r w:rsidRPr="00BF4536">
        <w:rPr>
          <w:sz w:val="24"/>
          <w:szCs w:val="24"/>
        </w:rPr>
        <w:t>, the proposed algorithm performs DGH-guided, level-wise semantic clustering on categorical quasi-identifiers, followed by numerical generalization within semantically homogeneous equivalence classes. Information loss metrics and runtime are computed for evaluation.</w:t>
      </w:r>
    </w:p>
    <w:sectPr w:rsidR="006315FF" w:rsidRPr="00BF4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F05A0"/>
    <w:multiLevelType w:val="multilevel"/>
    <w:tmpl w:val="ECD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8BA"/>
    <w:rsid w:val="000B1836"/>
    <w:rsid w:val="000F3056"/>
    <w:rsid w:val="00185023"/>
    <w:rsid w:val="001D2184"/>
    <w:rsid w:val="001F18BA"/>
    <w:rsid w:val="002A7FFA"/>
    <w:rsid w:val="006315FF"/>
    <w:rsid w:val="007760D0"/>
    <w:rsid w:val="00975917"/>
    <w:rsid w:val="00A52B8D"/>
    <w:rsid w:val="00AC163C"/>
    <w:rsid w:val="00BF4536"/>
    <w:rsid w:val="00C1530F"/>
    <w:rsid w:val="00DE2C02"/>
    <w:rsid w:val="00EA3C7E"/>
    <w:rsid w:val="00EF1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DE1E"/>
  <w15:chartTrackingRefBased/>
  <w15:docId w15:val="{2109C795-D6C6-4D58-8BE0-FD8C5C56A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50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850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8502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85023"/>
    <w:rPr>
      <w:b/>
      <w:bCs/>
    </w:rPr>
  </w:style>
  <w:style w:type="paragraph" w:styleId="NormalWeb">
    <w:name w:val="Normal (Web)"/>
    <w:basedOn w:val="Normal"/>
    <w:uiPriority w:val="99"/>
    <w:semiHidden/>
    <w:unhideWhenUsed/>
    <w:rsid w:val="001850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85023"/>
    <w:rPr>
      <w:i/>
      <w:iCs/>
    </w:rPr>
  </w:style>
  <w:style w:type="character" w:customStyle="1" w:styleId="katex-mathml">
    <w:name w:val="katex-mathml"/>
    <w:basedOn w:val="DefaultParagraphFont"/>
    <w:rsid w:val="00185023"/>
  </w:style>
  <w:style w:type="character" w:customStyle="1" w:styleId="mord">
    <w:name w:val="mord"/>
    <w:basedOn w:val="DefaultParagraphFont"/>
    <w:rsid w:val="00185023"/>
  </w:style>
  <w:style w:type="character" w:customStyle="1" w:styleId="mopen">
    <w:name w:val="mopen"/>
    <w:basedOn w:val="DefaultParagraphFont"/>
    <w:rsid w:val="00185023"/>
  </w:style>
  <w:style w:type="character" w:customStyle="1" w:styleId="mop">
    <w:name w:val="mop"/>
    <w:basedOn w:val="DefaultParagraphFont"/>
    <w:rsid w:val="00185023"/>
  </w:style>
  <w:style w:type="character" w:customStyle="1" w:styleId="mclose">
    <w:name w:val="mclose"/>
    <w:basedOn w:val="DefaultParagraphFont"/>
    <w:rsid w:val="0018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692466">
      <w:bodyDiv w:val="1"/>
      <w:marLeft w:val="0"/>
      <w:marRight w:val="0"/>
      <w:marTop w:val="0"/>
      <w:marBottom w:val="0"/>
      <w:divBdr>
        <w:top w:val="none" w:sz="0" w:space="0" w:color="auto"/>
        <w:left w:val="none" w:sz="0" w:space="0" w:color="auto"/>
        <w:bottom w:val="none" w:sz="0" w:space="0" w:color="auto"/>
        <w:right w:val="none" w:sz="0" w:space="0" w:color="auto"/>
      </w:divBdr>
    </w:div>
    <w:div w:id="777022179">
      <w:bodyDiv w:val="1"/>
      <w:marLeft w:val="0"/>
      <w:marRight w:val="0"/>
      <w:marTop w:val="0"/>
      <w:marBottom w:val="0"/>
      <w:divBdr>
        <w:top w:val="none" w:sz="0" w:space="0" w:color="auto"/>
        <w:left w:val="none" w:sz="0" w:space="0" w:color="auto"/>
        <w:bottom w:val="none" w:sz="0" w:space="0" w:color="auto"/>
        <w:right w:val="none" w:sz="0" w:space="0" w:color="auto"/>
      </w:divBdr>
      <w:divsChild>
        <w:div w:id="1859192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2026-02-02T05:39:00Z</dcterms:created>
  <dcterms:modified xsi:type="dcterms:W3CDTF">2026-02-02T06:01:00Z</dcterms:modified>
</cp:coreProperties>
</file>