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t>112 AI Trainer</w:t>
      </w:r>
    </w:p>
    <w:p>
      <w:pPr>
        <w:pStyle w:val="Subtitle"/>
        <w:ind w:firstLine="0"/>
        <w:jc w:val="center"/>
      </w:pPr>
      <w:r>
        <w:t>Тренажёр диспетчера ДДС</w:t>
      </w:r>
    </w:p>
    <w:p>
      <w:pPr>
        <w:pStyle w:val="Title"/>
        <w:ind w:firstLine="0"/>
        <w:jc w:val="center"/>
      </w:pPr>
      <w:r>
        <w:t>Общее описание системы</w:t>
      </w:r>
    </w:p>
    <w:p>
      <w:pPr>
        <w:ind w:firstLine="0"/>
        <w:jc w:val="center"/>
      </w:pPr>
      <w:r>
        <w:t>Т112 ПД 01</w:t>
      </w:r>
    </w:p>
    <w:p/>
    <w:p>
      <w:pPr>
        <w:ind w:firstLine="0"/>
        <w:jc w:val="center"/>
      </w:pPr>
      <w:r>
        <w:t>Программная версия v1.0</w:t>
      </w:r>
    </w:p>
    <w:p>
      <w:pPr>
        <w:ind w:firstLine="0"/>
        <w:jc w:val="center"/>
      </w:pPr>
      <w:r>
        <w:t>Разработчик и ответственный за документацию</w:t>
      </w:r>
    </w:p>
    <w:p>
      <w:pPr>
        <w:ind w:firstLine="0"/>
        <w:jc w:val="center"/>
      </w:pPr>
      <w:r>
        <w:t>Кодзаев Николай Петрович</w:t>
      </w:r>
    </w:p>
    <w:p>
      <w:pPr>
        <w:ind w:firstLine="0"/>
        <w:jc w:val="center"/>
      </w:pPr>
      <w:r>
        <w:t>28.09.2026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84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 (2).png"/>
                    <pic:cNvPicPr/>
                  </pic:nvPicPr>
                  <pic:blipFill>
                    <a:blip r:embed="rId11"/>
                    <a:srcRect l="33700" r="20700" t="27700" b="20700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Документ описывает назначение тренажёра 112 AI Trainer, состав программного комплекса, роли пользователей, учебные процессы и способы расширения. Предназначен для руководителя учебного центра, преподавателя и специалиста по внедрению.</w:t>
      </w:r>
    </w:p>
    <w:p>
      <w:pPr>
        <w:pStyle w:val="Heading1"/>
      </w:pPr>
      <w:r>
        <w:t>Содержание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1 Назначение системы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2 Состав системы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 Роли и полномочия</w:t>
        <w:tab/>
        <w:t>4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4 Учебный цикл ДДС</w:t>
        <w:tab/>
        <w:t>5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5 Подготовка учебного содержания</w:t>
        <w:tab/>
        <w:t>6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6 Оценивание и аналитика</w:t>
        <w:tab/>
        <w:t>7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7 Карта и справочники</w:t>
        <w:tab/>
        <w:t>7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8 Эксплуатация и расширение</w:t>
        <w:tab/>
        <w:t>8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9 Документы и идентификация версии</w:t>
        <w:tab/>
        <w:t>8</w:t>
      </w:r>
    </w:p>
    <w:p>
      <w:r>
        <w:br w:type="page"/>
      </w:r>
    </w:p>
    <w:p>
      <w:pPr>
        <w:pStyle w:val="Heading1"/>
      </w:pPr>
      <w:r>
        <w:t>1 Назначение системы</w:t>
      </w:r>
    </w:p>
    <w:p>
      <w:r>
        <w:t>112 AI Trainer предназначен для подготовки диспетчеров дежурно-диспетчерских служб. Обучающийся получает карточку происшествия, проверяет её, принимает решение о приёме, назначает бригаду, передаёт сведения дежурному и отражает ход реагирования. Преподаватель формирует задания, управляет занятием и оценивает действия. Администратор обслуживает локальный программный комплекс.</w:t>
      </w:r>
    </w:p>
    <w:p>
      <w:r>
        <w:t>Основной режим воспроизводит участок работы ДДС после передачи сведений Системой-112. Входящая карточка содержит исходный адрес, описание, классификацию и получателей. Ученик управляет своей службой. Состояние остальных получателей доступно для просмотра; при наличии контакта можно организовать взаимодействие по телефону.</w:t>
      </w:r>
    </w:p>
    <w:p>
      <w:r>
        <w:t>Дополнительный режим «Полный цикл 112» предназначен для приёма сообщения заявителя и заполнения карточки. Эти два режима имеют разные учебные цели и не подменяют друг друга.</w:t>
      </w:r>
    </w:p>
    <w:p>
      <w:r>
        <w:t>Вычисления прикладной системы, распознавание речи, синтез и языковые модели выполняются локально. Минимальная конфигурация по ТЗ работает на CPU без видеокарты; при наличии видеокарты языковая модель использует её автоматически (заказчик разрешил GPU на сессии 16.09). Облачные сервисы генерации и внешние речевые API в поставочном профиле не используются. Первичная подготовка зависимостей и моделей производится до ввода в изолированный контур.</w:t>
      </w:r>
    </w:p>
    <w:p>
      <w:pPr>
        <w:pStyle w:val="Heading1"/>
      </w:pPr>
      <w:r>
        <w:t>2 Состав системы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2"/>
        <w:gridCol w:w="7663"/>
      </w:tblGrid>
      <w:tr>
        <w:trPr>
          <w:cantSplit/>
          <w:tblHeader/>
        </w:trPr>
        <w:tc>
          <w:tcPr>
            <w:tcW w:type="dxa" w:w="1692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Компонент</w:t>
            </w:r>
          </w:p>
        </w:tc>
        <w:tc>
          <w:tcPr>
            <w:tcW w:type="dxa" w:w="7663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6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Рабочее место в браузере</w:t>
            </w:r>
          </w:p>
        </w:tc>
        <w:tc>
          <w:tcPr>
            <w:tcW w:type="dxa" w:w="76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Карточка, журнал ДДС, карта, справочник, личные кабинеты</w:t>
            </w:r>
          </w:p>
        </w:tc>
      </w:tr>
      <w:tr>
        <w:trPr>
          <w:cantSplit/>
        </w:trPr>
        <w:tc>
          <w:tcPr>
            <w:tcW w:type="dxa" w:w="16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Backend</w:t>
            </w:r>
          </w:p>
        </w:tc>
        <w:tc>
          <w:tcPr>
            <w:tcW w:type="dxa" w:w="76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Учебные сессии, сценарии, маршрутизация, оценка, отчёты, доступ</w:t>
            </w:r>
          </w:p>
        </w:tc>
      </w:tr>
      <w:tr>
        <w:trPr>
          <w:cantSplit/>
        </w:trPr>
        <w:tc>
          <w:tcPr>
            <w:tcW w:type="dxa" w:w="16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Voice</w:t>
            </w:r>
          </w:p>
        </w:tc>
        <w:tc>
          <w:tcPr>
            <w:tcW w:type="dxa" w:w="76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Захват звука, распознавание, обмен с диалогом, синтез и запись</w:t>
            </w:r>
          </w:p>
        </w:tc>
      </w:tr>
      <w:tr>
        <w:trPr>
          <w:cantSplit/>
        </w:trPr>
        <w:tc>
          <w:tcPr>
            <w:tcW w:type="dxa" w:w="16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Asterisk</w:t>
            </w:r>
          </w:p>
        </w:tc>
        <w:tc>
          <w:tcPr>
            <w:tcW w:type="dxa" w:w="76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Внутренняя SIP-телефония и соединение с рабочим местом</w:t>
            </w:r>
          </w:p>
        </w:tc>
      </w:tr>
      <w:tr>
        <w:trPr>
          <w:cantSplit/>
        </w:trPr>
        <w:tc>
          <w:tcPr>
            <w:tcW w:type="dxa" w:w="16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Ollama</w:t>
            </w:r>
          </w:p>
        </w:tc>
        <w:tc>
          <w:tcPr>
            <w:tcW w:type="dxa" w:w="76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Локальный запуск языковых моделей на CPU или GPU</w:t>
            </w:r>
          </w:p>
        </w:tc>
      </w:tr>
      <w:tr>
        <w:trPr>
          <w:cantSplit/>
        </w:trPr>
        <w:tc>
          <w:tcPr>
            <w:tcW w:type="dxa" w:w="16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PostgreSQL</w:t>
            </w:r>
          </w:p>
        </w:tc>
        <w:tc>
          <w:tcPr>
            <w:tcW w:type="dxa" w:w="76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Учётные записи, задания, результаты и состояние обучения</w:t>
            </w:r>
          </w:p>
        </w:tc>
      </w:tr>
      <w:tr>
        <w:trPr>
          <w:cantSplit/>
        </w:trPr>
        <w:tc>
          <w:tcPr>
            <w:tcW w:type="dxa" w:w="16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Backup worker</w:t>
            </w:r>
          </w:p>
        </w:tc>
        <w:tc>
          <w:tcPr>
            <w:tcW w:type="dxa" w:w="76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Ежедневные и ручные зашифрованные резервные копии</w:t>
            </w:r>
          </w:p>
        </w:tc>
      </w:tr>
      <w:tr>
        <w:trPr>
          <w:cantSplit/>
        </w:trPr>
        <w:tc>
          <w:tcPr>
            <w:tcW w:type="dxa" w:w="16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Служебные средства</w:t>
            </w:r>
          </w:p>
        </w:tc>
        <w:tc>
          <w:tcPr>
            <w:tcW w:type="dxa" w:w="76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TLS, журналы безопасности, мониторинг, импорт и экспорт</w:t>
            </w:r>
          </w:p>
        </w:tc>
      </w:tr>
    </w:tbl>
    <w:p>
      <w:pPr>
        <w:spacing w:after="0"/>
      </w:pPr>
    </w:p>
    <w:p>
      <w:r>
        <w:t>Сайт не содержит встроенного SIP-телефона. Звук передаётся через отдельный IP-телефон либо MicroSIP на ПК ученика. Команда вызова поступает с сайта на сервер; АТС звонит на зарегистрированный номер рабочего места. Номер бригады в сценарии обозначает учебного собеседника, а не маршрут в городскую телефонную сеть.</w:t>
      </w:r>
    </w:p>
    <w:p>
      <w:pPr>
        <w:pStyle w:val="Heading1"/>
      </w:pPr>
      <w:r>
        <w:t>3 Роли и полномочия</w:t>
      </w:r>
    </w:p>
    <w:p>
      <w:r>
        <w:t>Администратор создаёт и блокирует пользователей, выдаёт локальные роли, обслуживает конфигурацию и резервные копии, просматривает технические события. Изменение серверных адресов и секретов выполняется в защищённой конфигурации развёртывания.</w:t>
      </w:r>
    </w:p>
    <w:p>
      <w:r>
        <w:t>Преподаватель создаёт группы, выбирает упражнения, назначает задания, запускает и завершает занятия, наблюдает за работой группы. Он утверждает сценарии и эталоны, рассматривает результаты и при необходимости оформляет мотивированную экспертную оценку.</w:t>
      </w:r>
    </w:p>
    <w:p>
      <w:r>
        <w:t>Обучающийся видит назначенные задания и собственные результаты, работает с карточками, справочными материалами и телефоном. Доступ к чужим результатам, настройкам безопасности и редактору эталонов ему не предоставляется.</w:t>
      </w:r>
    </w:p>
    <w:p>
      <w:pPr>
        <w:pStyle w:val="Heading1"/>
      </w:pPr>
      <w:r>
        <w:t>4 Учебный цикл ДДС</w:t>
      </w:r>
    </w:p>
    <w:p>
      <w:r>
        <w:t>Последовательность работы: поступление карточки; решение о приёме либо мотивированном непринятии; выбор бригады; передача сведений; получение оперативных докладов; изменение статусов по факту сообщений; запись результата; завершение карточки и занятия.</w:t>
      </w:r>
    </w:p>
    <w:p>
      <w:r>
        <w:t>Нормативы заданы ответом заказчика от 27.09.2026: 30 секунд — от появления карточки в строке сообщений до её открытия; 3 минуты — до первой записи своей службы (статус и текст). Остальные сроки не нормируются: работы могут идти часами. Карточка считается отработанной, когда активированы все статусы цикла и у каждого заполнен комментарий; отказ принимается только мотивированным.</w:t>
      </w:r>
    </w:p>
    <w:p>
      <w:r>
        <w:t>Доступность последующего статуса зависит от вводной сценария. Перед «Работы завершены» необходимо внести результат. Отказ требует причины. Преждевременное завершение блокируется правилами учебного процесса.</w:t>
      </w:r>
    </w:p>
    <w:p>
      <w:r>
        <w:t>При нескольких одновременно открытых происшествиях ученик переключается между карточками. Новая карточка и новый доклад по ранее принятой карточке являются отдельными событиями. Для каждого сохраняется собственная история.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1207800</wp:posOffset>
            </wp:positionH>
            <wp:positionV relativeFrom="paragraph">
              <wp:posOffset>931500</wp:posOffset>
            </wp:positionV>
            <wp:extent cx="324000" cy="648000"/>
            <wp:wrapNone/>
            <wp:docPr id="3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324000" cy="6480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1430200</wp:posOffset>
            </wp:positionH>
            <wp:positionV relativeFrom="paragraph">
              <wp:posOffset>1477900</wp:posOffset>
            </wp:positionV>
            <wp:extent cx="203200" cy="203200"/>
            <wp:wrapNone/>
            <wp:docPr id="4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3597300</wp:posOffset>
            </wp:positionH>
            <wp:positionV relativeFrom="paragraph">
              <wp:posOffset>992250</wp:posOffset>
            </wp:positionV>
            <wp:extent cx="283500" cy="668250"/>
            <wp:wrapNone/>
            <wp:docPr id="5" name="Указатель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283500" cy="6682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3779200</wp:posOffset>
            </wp:positionH>
            <wp:positionV relativeFrom="paragraph">
              <wp:posOffset>1558900</wp:posOffset>
            </wp:positionV>
            <wp:extent cx="203200" cy="203200"/>
            <wp:wrapNone/>
            <wp:docPr id="6" name="Номер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2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681300</wp:posOffset>
            </wp:positionH>
            <wp:positionV relativeFrom="paragraph">
              <wp:posOffset>3078000</wp:posOffset>
            </wp:positionV>
            <wp:extent cx="1093500" cy="627750"/>
            <wp:wrapNone/>
            <wp:docPr id="7" name="Указатель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1093500" cy="6277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1673200</wp:posOffset>
            </wp:positionH>
            <wp:positionV relativeFrom="paragraph">
              <wp:posOffset>2976400</wp:posOffset>
            </wp:positionV>
            <wp:extent cx="203200" cy="203200"/>
            <wp:wrapNone/>
            <wp:docPr id="8" name="Номер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3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4528800</wp:posOffset>
            </wp:positionH>
            <wp:positionV relativeFrom="paragraph">
              <wp:posOffset>3078000</wp:posOffset>
            </wp:positionV>
            <wp:extent cx="40500" cy="648000"/>
            <wp:wrapNone/>
            <wp:docPr id="9" name="Указатель 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40500" cy="6480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4427200</wp:posOffset>
            </wp:positionH>
            <wp:positionV relativeFrom="paragraph">
              <wp:posOffset>2976400</wp:posOffset>
            </wp:positionV>
            <wp:extent cx="203200" cy="203200"/>
            <wp:wrapNone/>
            <wp:docPr id="10" name="Номер 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4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Рисунок 1 — Рабочее место диспетчера и входящая карточка</w:t>
      </w:r>
    </w:p>
    <w:p>
      <w:pPr>
        <w:spacing w:line="240" w:lineRule="auto"/>
        <w:ind w:firstLine="0"/>
      </w:pPr>
      <w:r>
        <w:rPr>
          <w:sz w:val="22"/>
        </w:rPr>
        <w:t>1 — адрес; 2 — вид происшествия; 3 — своя служба; 4 — дополнение и инструменты реагирования.</w:t>
      </w:r>
    </w:p>
    <w:p>
      <w:pPr>
        <w:pStyle w:val="Heading1"/>
      </w:pPr>
      <w:r>
        <w:t>5 Подготовка учебного содержания</w:t>
      </w:r>
    </w:p>
    <w:p>
      <w:r>
        <w:t>В поставке подготовлены 96 упражнений на основе 32 билетов по три ситуации. Для упражнений предусмотрены готовые карточки, назначение бригады, этапы реагирования и критерии проверки. Авторские дополнения к неполным вводным отделены от исходных сведений билета. Преподаватель проверяет пригодность упражнения для своей службы перед назначением.</w:t>
      </w:r>
    </w:p>
    <w:p>
      <w:r>
        <w:t>Библиотека поддерживает категории, сложность, профиль ДДС, вариативность и публикацию версий. Можно использовать вручную подготовленное задание либо создать черновик с помощью локальной модели. Генерация не публикует задание автоматически: необходимы предпросмотр и утверждение преподавателем.</w:t>
      </w:r>
    </w:p>
    <w:p>
      <w:r>
        <w:t>Методические документы загружаются в справочную библиотеку. Текст извлекается локально, для сканированных материалов используется OCR. При подготовке ИИ-черновика выбираются относящиеся к задаче фрагменты; повторное обучение весов модели при загрузке файла не выполняется.</w:t>
      </w:r>
    </w:p>
    <w:p>
      <w:pPr>
        <w:pStyle w:val="Heading1"/>
      </w:pPr>
      <w:r>
        <w:t>6 Оценивание и аналитика</w:t>
      </w:r>
    </w:p>
    <w:p>
      <w:r>
        <w:t>Система раздельно рассматривает заполнение полей, последовательность действий, решения диспетчера и рекомендации ИИ. В режиме ДДС значимы приём по профилю, обоснование отказа, доклад без потери необходимых фактов, реакция на вводные и результат работ.</w:t>
      </w:r>
    </w:p>
    <w:p>
      <w:r>
        <w:t>Проверки действий воспроизводимы по журналу событий. Учебные эталоны и пороги привязаны к версии задания. Преподаватель может уточнить итоговую оценку с обязательным обоснованием; автоматический результат и история экспертных решений сохраняются.</w:t>
      </w:r>
    </w:p>
    <w:p>
      <w:r>
        <w:t>Статистика содержит прогресс, средний результат, время, типичные ошибки и сводку группы. Предусмотрены выгрузки CSV, XLSX и JSON, отчёт по карточке и PDF-сертификат. Рекомендации по группе помогают выбрать последующие упражнения, но не изменяют назначения без решения преподавателя.</w:t>
      </w:r>
    </w:p>
    <w:p>
      <w:pPr>
        <w:pStyle w:val="Heading1"/>
      </w:pPr>
      <w:r>
        <w:t>7 Карта и справочники</w:t>
      </w:r>
    </w:p>
    <w:p>
      <w:r>
        <w:t>Карта работает с локальным региональным пакетом геометрии и адресного поиска. В поставочном наборе используется Москва и Московская область. Адрес вне установленного покрытия не превращается в произвольную точку. Для другого региона администратор подготавливает соответствующий пакет.</w:t>
      </w:r>
    </w:p>
    <w:p>
      <w:r>
        <w:t>Получатели определяются классификатором, территориальными правилами и явно заданной подчинённостью объекта. В состав входят 20 подготовленных территориальных правил. Справочник можно расширять. При неизвестной привязке преподаватель задаёт получателей явно.</w:t>
      </w:r>
    </w:p>
    <w:p>
      <w:pPr>
        <w:pStyle w:val="Heading1"/>
      </w:pPr>
      <w:r>
        <w:t>8 Эксплуатация и расширение</w:t>
      </w:r>
    </w:p>
    <w:p>
      <w:r>
        <w:t>Система развёртывается в локальной сети. Для переноса поставляются код, контейнерные образы, модели, карта и защищённые настройки нового контура. Запуск серверной части описан в Т112 ПД 02; подключение рабочего места — в Т112 ПД 03.</w:t>
      </w:r>
    </w:p>
    <w:p>
      <w:r>
        <w:t>Расширение содержания выполняется через сценарии, методические материалы, классификатор и территориальные правила. Расширение прикладной логики выполняется через документированные REST API /api/v1 и WebSocket /ws/v1. Два Backend-процесса могут работать в отдельном профиле балансировки. Отказоустойчивость БД и голосового узла настраивается отдельно.</w:t>
      </w:r>
    </w:p>
    <w:p>
      <w:r>
        <w:t>Развитие вычислительной части возможно за счёт более производительного CPU, памяти, отдельного локального узла моделей либо отдельного GPU-профиля. Устройство модели выбирается в кабинете администратора; замеры CPU и GPU приведены в Т112 ПД 08.</w:t>
      </w:r>
    </w:p>
    <w:p>
      <w:pPr>
        <w:pStyle w:val="Heading1"/>
      </w:pPr>
      <w:r>
        <w:t>9 Документы и идентификация версии</w:t>
      </w:r>
    </w:p>
    <w:p>
      <w:r>
        <w:t>Описание относится к исходному коду v1.0 в репозитории kolloko2/112-ai-trainer. Дата выпуска документов — 28.09.2026. Названия экранов и команды приведены для этой версии.</w:t>
      </w:r>
    </w:p>
    <w:p>
      <w:r>
        <w:t>Нормативная основа состава документов: ГОСТ 34.201-2020 и ГОСТ Р 59795-2021. Руководства пользователя имеют разделы по ГОСТ 19.505-79; серверное руководство — по ГОСТ 19.503-79. Ведомость Т112 ПД 00 определяет состав настоящей поставки.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sz w:val="20"/>
      </w:rPr>
      <w:t>Т112 ПД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firstLine="0"/>
      <w:outlineLvl w:val="1"/>
    </w:pPr>
    <w:rPr>
      <w:rFonts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</w:pPr>
    <w:rPr>
      <w:rFonts w:ascii="Times New Roman" w:hAnsi="Times New Roman" w:eastAsia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</w:pPr>
    <w:rPr>
      <w:rFonts w:ascii="Times New Roman" w:hAnsi="Times New Roman" w:eastAsia="Times New Roman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Общее описание системы</dc:title>
  <dc:subject>Т112 ПД 01</dc:subject>
  <dc:creator>Кодзаев Николай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