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ind w:firstLine="0"/>
        <w:jc w:val="center"/>
      </w:pPr>
      <w:r>
        <w:t>112 AI Trainer</w:t>
      </w:r>
    </w:p>
    <w:p>
      <w:pPr>
        <w:pStyle w:val="Subtitle"/>
        <w:ind w:firstLine="0"/>
        <w:jc w:val="center"/>
      </w:pPr>
      <w:r>
        <w:t>Тренажёр диспетчера ДДС</w:t>
      </w:r>
    </w:p>
    <w:p>
      <w:pPr>
        <w:pStyle w:val="Title"/>
        <w:ind w:firstLine="0"/>
        <w:jc w:val="center"/>
      </w:pPr>
      <w:r>
        <w:t>Описание программного обеспечения и технологий</w:t>
      </w:r>
    </w:p>
    <w:p>
      <w:pPr>
        <w:ind w:firstLine="0"/>
        <w:jc w:val="center"/>
      </w:pPr>
      <w:r>
        <w:t>Т112 ПД 06</w:t>
      </w:r>
    </w:p>
    <w:p/>
    <w:p>
      <w:pPr>
        <w:ind w:firstLine="0"/>
        <w:jc w:val="center"/>
      </w:pPr>
      <w:r>
        <w:t>Программная версия v1.0</w:t>
      </w:r>
    </w:p>
    <w:p>
      <w:pPr>
        <w:ind w:firstLine="0"/>
        <w:jc w:val="center"/>
      </w:pPr>
      <w:r>
        <w:t>Разработчик и ответственный за документацию</w:t>
      </w:r>
    </w:p>
    <w:p>
      <w:pPr>
        <w:ind w:firstLine="0"/>
        <w:jc w:val="center"/>
      </w:pPr>
      <w:r>
        <w:t>Кодзаев Николай Петрович</w:t>
      </w:r>
    </w:p>
    <w:p>
      <w:pPr>
        <w:ind w:firstLine="0"/>
        <w:jc w:val="center"/>
      </w:pPr>
      <w:r>
        <w:t>28.09.2026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584000" cy="9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gnature (2).png"/>
                    <pic:cNvPicPr/>
                  </pic:nvPicPr>
                  <pic:blipFill>
                    <a:blip r:embed="rId11"/>
                    <a:srcRect l="33700" r="20700" t="27700" b="20700"/>
                    <a:stretch>
                      <a:fillRect/>
                    </a:stretch>
                  </pic:blipFill>
                  <pic:spPr>
                    <a:xfrm>
                      <a:off x="0" y="0"/>
                      <a:ext cx="1584000" cy="9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Аннотация</w:t>
      </w:r>
    </w:p>
    <w:p>
      <w:r>
        <w:t>Документ предназначен для разработчика и специалиста по сопровождению. Содержит архитектуру, назначение технологий, модели ИИ, форматы обмена, зависимости, правила расширения и границы поставочного профиля.</w:t>
      </w:r>
    </w:p>
    <w:p>
      <w:pPr>
        <w:pStyle w:val="Heading1"/>
      </w:pPr>
      <w:r>
        <w:t>Содержание</w:t>
      </w:r>
    </w:p>
    <w:p>
      <w:pPr>
        <w:tabs>
          <w:tab w:pos="9071" w:val="right" w:leader="dot"/>
        </w:tabs>
        <w:spacing w:line="240" w:lineRule="auto" w:after="60"/>
        <w:ind w:firstLine="0"/>
      </w:pPr>
      <w:r>
        <w:rPr>
          <w:sz w:val="24"/>
        </w:rPr>
        <w:t>1 Общие сведения</w:t>
        <w:tab/>
        <w:t>3</w:t>
      </w:r>
    </w:p>
    <w:p>
      <w:pPr>
        <w:tabs>
          <w:tab w:pos="9071" w:val="right" w:leader="dot"/>
        </w:tabs>
        <w:spacing w:line="240" w:lineRule="auto" w:after="60"/>
        <w:ind w:firstLine="0"/>
      </w:pPr>
      <w:r>
        <w:rPr>
          <w:sz w:val="24"/>
        </w:rPr>
        <w:t>2 Функциональная архитектура</w:t>
        <w:tab/>
        <w:t>3</w:t>
      </w:r>
    </w:p>
    <w:p>
      <w:pPr>
        <w:tabs>
          <w:tab w:pos="9071" w:val="right" w:leader="dot"/>
        </w:tabs>
        <w:spacing w:line="240" w:lineRule="auto" w:after="60"/>
        <w:ind w:firstLine="0"/>
      </w:pPr>
      <w:r>
        <w:rPr>
          <w:sz w:val="24"/>
        </w:rPr>
        <w:t>3 Языковые и речевые модели</w:t>
        <w:tab/>
        <w:t>4</w:t>
      </w:r>
    </w:p>
    <w:p>
      <w:pPr>
        <w:tabs>
          <w:tab w:pos="9071" w:val="right" w:leader="dot"/>
        </w:tabs>
        <w:spacing w:line="240" w:lineRule="auto" w:after="60"/>
        <w:ind w:firstLine="0"/>
      </w:pPr>
      <w:r>
        <w:rPr>
          <w:sz w:val="24"/>
        </w:rPr>
        <w:t>4 Основные библиотеки</w:t>
        <w:tab/>
        <w:t>5</w:t>
      </w:r>
    </w:p>
    <w:p>
      <w:pPr>
        <w:tabs>
          <w:tab w:pos="9071" w:val="right" w:leader="dot"/>
        </w:tabs>
        <w:spacing w:line="240" w:lineRule="auto" w:after="60"/>
        <w:ind w:firstLine="0"/>
      </w:pPr>
      <w:r>
        <w:rPr>
          <w:sz w:val="24"/>
        </w:rPr>
        <w:t>5 Инфраструктура и форматы</w:t>
        <w:tab/>
        <w:t>5</w:t>
      </w:r>
    </w:p>
    <w:p>
      <w:pPr>
        <w:tabs>
          <w:tab w:pos="9071" w:val="right" w:leader="dot"/>
        </w:tabs>
        <w:spacing w:line="240" w:lineRule="auto" w:after="60"/>
        <w:ind w:firstLine="0"/>
      </w:pPr>
      <w:r>
        <w:rPr>
          <w:sz w:val="24"/>
        </w:rPr>
        <w:t>6 Хранение и воспроизводимость</w:t>
        <w:tab/>
        <w:t>6</w:t>
      </w:r>
    </w:p>
    <w:p>
      <w:pPr>
        <w:tabs>
          <w:tab w:pos="9071" w:val="right" w:leader="dot"/>
        </w:tabs>
        <w:spacing w:line="240" w:lineRule="auto" w:after="60"/>
        <w:ind w:firstLine="0"/>
      </w:pPr>
      <w:r>
        <w:rPr>
          <w:sz w:val="24"/>
        </w:rPr>
        <w:t>7 Дополнительные возможности и развитие</w:t>
        <w:tab/>
        <w:t>7</w:t>
      </w:r>
    </w:p>
    <w:p>
      <w:r>
        <w:br w:type="page"/>
      </w:r>
    </w:p>
    <w:p>
      <w:pPr>
        <w:pStyle w:val="Heading1"/>
      </w:pPr>
      <w:r>
        <w:t>1 Общие сведения</w:t>
      </w:r>
    </w:p>
    <w:p>
      <w:r>
        <w:t>Исходный код: https://github.com/kolloko2/112-ai-trainer, версия v1.0. Приложение состоит из Python-сервисов, браузерного интерфейса на JavaScript, локальной АТС и файловых ресурсов. Контейнеры собираются из Dockerfile проекта. Ollama работает на локальном хосте и доступен серверным компонентам.</w:t>
      </w:r>
    </w:p>
    <w:p>
      <w:r>
        <w:t>Устройство языковой модели задаётся параметром LLM_DEVICE: auto (по умолчанию — видеокарта при наличии, иначе CPU), cpu (num_gpu=0, минимальный сервер по ТЗ) или gpu (все слои на видеокарте). Речевые модели исполняются локальными CPU-провайдерами. Для использования продукта не нужны API-ключи сторонних поставщиков ИИ. Сохранённый в исходниках адаптер OpenRouter является альтернативной ветвью разработки и выключен в описанной конфигурации.</w:t>
      </w:r>
    </w:p>
    <w:p>
      <w:pPr>
        <w:pStyle w:val="Heading1"/>
      </w:pPr>
      <w:r>
        <w:t>2 Функциональная архитектура</w:t>
      </w:r>
    </w:p>
    <w:p>
      <w:r>
        <w:t>Браузер обращается к Frontend по HTTPS. Frontend обслуживает файлы интерфейса и проксирует разрешённые запросы Backend и Voice. Backend проверяет роль и принадлежность данных, хранит версии сценариев, события и оценки. Voice управляет аудиотрактом и соединяется с Asterisk через ARI и WebSocket media.</w:t>
      </w:r>
    </w:p>
    <w:p>
      <w:r>
        <w:t>LLM получает роль собеседника, текущие доступные факты и ограниченную историю. Будущие доклады и приватные эталоны не должны попадать в контекст ученика. Изменение статусов и оценка решений выполняются серверными правилами, а не произвольной командой языковой модели.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23"/>
        <w:gridCol w:w="7832"/>
      </w:tblGrid>
      <w:tr>
        <w:trPr>
          <w:cantSplit/>
          <w:tblHeader/>
        </w:trPr>
        <w:tc>
          <w:tcPr>
            <w:tcW w:type="dxa" w:w="1523"/>
            <w:tcMar>
              <w:top w:w="80" w:type="dxa"/>
              <w:left w:w="80" w:type="dxa"/>
              <w:bottom w:w="80" w:type="dxa"/>
              <w:right w:w="80" w:type="dxa"/>
            </w:tcMar>
            <w:shd w:fill="EEEEEE"/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/>
                <w:sz w:val="22"/>
              </w:rPr>
              <w:t>Каталог</w:t>
            </w:r>
          </w:p>
        </w:tc>
        <w:tc>
          <w:tcPr>
            <w:tcW w:type="dxa" w:w="7832"/>
            <w:tcMar>
              <w:top w:w="80" w:type="dxa"/>
              <w:left w:w="80" w:type="dxa"/>
              <w:bottom w:w="80" w:type="dxa"/>
              <w:right w:w="80" w:type="dxa"/>
            </w:tcMar>
            <w:shd w:fill="EEEEEE"/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/>
                <w:sz w:val="22"/>
              </w:rPr>
              <w:t>Ответственность</w:t>
            </w:r>
          </w:p>
        </w:tc>
      </w:tr>
      <w:tr>
        <w:trPr>
          <w:cantSplit/>
        </w:trPr>
        <w:tc>
          <w:tcPr>
            <w:tcW w:type="dxa" w:w="1523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backend</w:t>
            </w:r>
          </w:p>
        </w:tc>
        <w:tc>
          <w:tcPr>
            <w:tcW w:type="dxa" w:w="783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Учебная логика, модели данных, оценка, API и доступ</w:t>
            </w:r>
          </w:p>
        </w:tc>
      </w:tr>
      <w:tr>
        <w:trPr>
          <w:cantSplit/>
        </w:trPr>
        <w:tc>
          <w:tcPr>
            <w:tcW w:type="dxa" w:w="1523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frontend</w:t>
            </w:r>
          </w:p>
        </w:tc>
        <w:tc>
          <w:tcPr>
            <w:tcW w:type="dxa" w:w="783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HTML, CSS, JavaScript и сервер интерфейса</w:t>
            </w:r>
          </w:p>
        </w:tc>
      </w:tr>
      <w:tr>
        <w:trPr>
          <w:cantSplit/>
        </w:trPr>
        <w:tc>
          <w:tcPr>
            <w:tcW w:type="dxa" w:w="1523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voice/app</w:t>
            </w:r>
          </w:p>
        </w:tc>
        <w:tc>
          <w:tcPr>
            <w:tcW w:type="dxa" w:w="783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Состояния звонков, аудио, провайдеры речи и обмен событиями</w:t>
            </w:r>
          </w:p>
        </w:tc>
      </w:tr>
      <w:tr>
        <w:trPr>
          <w:cantSplit/>
        </w:trPr>
        <w:tc>
          <w:tcPr>
            <w:tcW w:type="dxa" w:w="1523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deploy</w:t>
            </w:r>
          </w:p>
        </w:tc>
        <w:tc>
          <w:tcPr>
            <w:tcW w:type="dxa" w:w="783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Контейнеры, TLS, резервирование и операции</w:t>
            </w:r>
          </w:p>
        </w:tc>
      </w:tr>
      <w:tr>
        <w:trPr>
          <w:cantSplit/>
        </w:trPr>
        <w:tc>
          <w:tcPr>
            <w:tcW w:type="dxa" w:w="1523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shared/api</w:t>
            </w:r>
          </w:p>
        </w:tc>
        <w:tc>
          <w:tcPr>
            <w:tcW w:type="dxa" w:w="783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Контракты OpenAPI и AsyncAPI</w:t>
            </w:r>
          </w:p>
        </w:tc>
      </w:tr>
      <w:tr>
        <w:trPr>
          <w:cantSplit/>
        </w:trPr>
        <w:tc>
          <w:tcPr>
            <w:tcW w:type="dxa" w:w="1523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tools</w:t>
            </w:r>
          </w:p>
        </w:tc>
        <w:tc>
          <w:tcPr>
            <w:tcW w:type="dxa" w:w="783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Импорт, подготовка ресурсов, демонстрация и проверки</w:t>
            </w:r>
          </w:p>
        </w:tc>
      </w:tr>
    </w:tbl>
    <w:p>
      <w:pPr>
        <w:spacing w:after="0"/>
      </w:pPr>
    </w:p>
    <w:p>
      <w:pPr>
        <w:pStyle w:val="Heading1"/>
      </w:pPr>
      <w:r>
        <w:t>3 Языковые и речевые модели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94"/>
        <w:gridCol w:w="2974"/>
        <w:gridCol w:w="4486"/>
      </w:tblGrid>
      <w:tr>
        <w:trPr>
          <w:cantSplit/>
          <w:tblHeader/>
        </w:trPr>
        <w:tc>
          <w:tcPr>
            <w:tcW w:type="dxa" w:w="1894"/>
            <w:tcMar>
              <w:top w:w="80" w:type="dxa"/>
              <w:left w:w="80" w:type="dxa"/>
              <w:bottom w:w="80" w:type="dxa"/>
              <w:right w:w="80" w:type="dxa"/>
            </w:tcMar>
            <w:shd w:fill="EEEEEE"/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/>
                <w:sz w:val="22"/>
              </w:rPr>
              <w:t>Компонент</w:t>
            </w:r>
          </w:p>
        </w:tc>
        <w:tc>
          <w:tcPr>
            <w:tcW w:type="dxa" w:w="2974"/>
            <w:tcMar>
              <w:top w:w="80" w:type="dxa"/>
              <w:left w:w="80" w:type="dxa"/>
              <w:bottom w:w="80" w:type="dxa"/>
              <w:right w:w="80" w:type="dxa"/>
            </w:tcMar>
            <w:shd w:fill="EEEEEE"/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/>
                <w:sz w:val="22"/>
              </w:rPr>
              <w:t>Рабочий вариант</w:t>
            </w:r>
          </w:p>
        </w:tc>
        <w:tc>
          <w:tcPr>
            <w:tcW w:type="dxa" w:w="4486"/>
            <w:tcMar>
              <w:top w:w="80" w:type="dxa"/>
              <w:left w:w="80" w:type="dxa"/>
              <w:bottom w:w="80" w:type="dxa"/>
              <w:right w:w="80" w:type="dxa"/>
            </w:tcMar>
            <w:shd w:fill="EEEEEE"/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/>
                <w:sz w:val="22"/>
              </w:rPr>
              <w:t>Назначение</w:t>
            </w:r>
          </w:p>
        </w:tc>
      </w:tr>
      <w:tr>
        <w:trPr>
          <w:cantSplit/>
        </w:trPr>
        <w:tc>
          <w:tcPr>
            <w:tcW w:type="dxa" w:w="189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Телефонный диалог</w:t>
            </w:r>
          </w:p>
        </w:tc>
        <w:tc>
          <w:tcPr>
            <w:tcW w:type="dxa" w:w="297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Qwen3 4B Instruct 2507 Q4_K_M</w:t>
            </w:r>
          </w:p>
        </w:tc>
        <w:tc>
          <w:tcPr>
            <w:tcW w:type="dxa" w:w="448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Короткий ответ собеседника по фактам</w:t>
            </w:r>
          </w:p>
        </w:tc>
      </w:tr>
      <w:tr>
        <w:trPr>
          <w:cantSplit/>
        </w:trPr>
        <w:tc>
          <w:tcPr>
            <w:tcW w:type="dxa" w:w="189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Авторинг и разбор</w:t>
            </w:r>
          </w:p>
        </w:tc>
        <w:tc>
          <w:tcPr>
            <w:tcW w:type="dxa" w:w="297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qwen3:8b, профиль standard</w:t>
            </w:r>
          </w:p>
        </w:tc>
        <w:tc>
          <w:tcPr>
            <w:tcW w:type="dxa" w:w="448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Сценарии, эталоны и аналитические пояснения</w:t>
            </w:r>
          </w:p>
        </w:tc>
      </w:tr>
      <w:tr>
        <w:trPr>
          <w:cantSplit/>
        </w:trPr>
        <w:tc>
          <w:tcPr>
            <w:tcW w:type="dxa" w:w="189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Предварительное распознавание</w:t>
            </w:r>
          </w:p>
        </w:tc>
        <w:tc>
          <w:tcPr>
            <w:tcW w:type="dxa" w:w="297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Vosk small ru 0.22</w:t>
            </w:r>
          </w:p>
        </w:tc>
        <w:tc>
          <w:tcPr>
            <w:tcW w:type="dxa" w:w="448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Локальная обработка русской речи</w:t>
            </w:r>
          </w:p>
        </w:tc>
      </w:tr>
      <w:tr>
        <w:trPr>
          <w:cantSplit/>
        </w:trPr>
        <w:tc>
          <w:tcPr>
            <w:tcW w:type="dxa" w:w="189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Финальное распознавание</w:t>
            </w:r>
          </w:p>
        </w:tc>
        <w:tc>
          <w:tcPr>
            <w:tcW w:type="dxa" w:w="297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GigaAM v2 CTC через sherpa-onnx, INT8</w:t>
            </w:r>
          </w:p>
        </w:tc>
        <w:tc>
          <w:tcPr>
            <w:tcW w:type="dxa" w:w="448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Уточнение результата распознавания</w:t>
            </w:r>
          </w:p>
        </w:tc>
      </w:tr>
      <w:tr>
        <w:trPr>
          <w:cantSplit/>
        </w:trPr>
        <w:tc>
          <w:tcPr>
            <w:tcW w:type="dxa" w:w="189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Синтез</w:t>
            </w:r>
          </w:p>
        </w:tc>
        <w:tc>
          <w:tcPr>
            <w:tcW w:type="dxa" w:w="297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Silero v5_5_ru, голос baya</w:t>
            </w:r>
          </w:p>
        </w:tc>
        <w:tc>
          <w:tcPr>
            <w:tcW w:type="dxa" w:w="448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Русская речь локально на CPU</w:t>
            </w:r>
          </w:p>
        </w:tc>
      </w:tr>
      <w:tr>
        <w:trPr>
          <w:cantSplit/>
        </w:trPr>
        <w:tc>
          <w:tcPr>
            <w:tcW w:type="dxa" w:w="189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Морфология</w:t>
            </w:r>
          </w:p>
        </w:tc>
        <w:tc>
          <w:tcPr>
            <w:tcW w:type="dxa" w:w="297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pymorphy3</w:t>
            </w:r>
          </w:p>
        </w:tc>
        <w:tc>
          <w:tcPr>
            <w:tcW w:type="dxa" w:w="448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Локальный анализ словоформ и проверок текста</w:t>
            </w:r>
          </w:p>
        </w:tc>
      </w:tr>
      <w:tr>
        <w:trPr>
          <w:cantSplit/>
        </w:trPr>
        <w:tc>
          <w:tcPr>
            <w:tcW w:type="dxa" w:w="189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OCR</w:t>
            </w:r>
          </w:p>
        </w:tc>
        <w:tc>
          <w:tcPr>
            <w:tcW w:type="dxa" w:w="297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Tesseract rus и eng</w:t>
            </w:r>
          </w:p>
        </w:tc>
        <w:tc>
          <w:tcPr>
            <w:tcW w:type="dxa" w:w="448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Извлечение текста из изображений документов</w:t>
            </w:r>
          </w:p>
        </w:tc>
      </w:tr>
    </w:tbl>
    <w:p>
      <w:pPr>
        <w:spacing w:after="0"/>
      </w:pPr>
    </w:p>
    <w:p>
      <w:r>
        <w:t>Для телефонной модели установлен контекст 4096 токенов, максимум 120 выходных токенов, температура 0,2 и шесть CPU-потоков на измеренном шестиядерном хосте в режиме CPU. Инструкции ограничивают ответ короткой русской репликой. Модель Instruct не использует длинный режим рассуждений в этом профиле.</w:t>
      </w:r>
    </w:p>
    <w:p>
      <w:r>
        <w:t>Квантование Q4_K_M уменьшает объём весов телефонной LLM; установленный файл занимает примерно 2,5 ГБ, прогретый процесс модели на стенде — около 3,2 ГБ. GigaAM использует отдельный INT8 ONNX-файл. Нельзя переносить эти значения на всю оперативную память комплекса: другие модели, сервисы и буферы требуют собственных ресурсов.</w:t>
      </w:r>
    </w:p>
    <w:p>
      <w:pPr>
        <w:pStyle w:val="Heading1"/>
      </w:pPr>
      <w:r>
        <w:t>4 Основные библиотеки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789"/>
        <w:gridCol w:w="6566"/>
      </w:tblGrid>
      <w:tr>
        <w:trPr>
          <w:cantSplit/>
          <w:tblHeader/>
        </w:trPr>
        <w:tc>
          <w:tcPr>
            <w:tcW w:type="dxa" w:w="2789"/>
            <w:tcMar>
              <w:top w:w="80" w:type="dxa"/>
              <w:left w:w="80" w:type="dxa"/>
              <w:bottom w:w="80" w:type="dxa"/>
              <w:right w:w="80" w:type="dxa"/>
            </w:tcMar>
            <w:shd w:fill="EEEEEE"/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/>
                <w:sz w:val="22"/>
              </w:rPr>
              <w:t>Библиотека или средство</w:t>
            </w:r>
          </w:p>
        </w:tc>
        <w:tc>
          <w:tcPr>
            <w:tcW w:type="dxa" w:w="6566"/>
            <w:tcMar>
              <w:top w:w="80" w:type="dxa"/>
              <w:left w:w="80" w:type="dxa"/>
              <w:bottom w:w="80" w:type="dxa"/>
              <w:right w:w="80" w:type="dxa"/>
            </w:tcMar>
            <w:shd w:fill="EEEEEE"/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/>
                <w:sz w:val="22"/>
              </w:rPr>
              <w:t>Применение</w:t>
            </w:r>
          </w:p>
        </w:tc>
      </w:tr>
      <w:tr>
        <w:trPr>
          <w:cantSplit/>
        </w:trPr>
        <w:tc>
          <w:tcPr>
            <w:tcW w:type="dxa" w:w="278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FastAPI, Uvicorn</w:t>
            </w:r>
          </w:p>
        </w:tc>
        <w:tc>
          <w:tcPr>
            <w:tcW w:type="dxa" w:w="656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HTTP API и жизненный цикл Python-сервисов</w:t>
            </w:r>
          </w:p>
        </w:tc>
      </w:tr>
      <w:tr>
        <w:trPr>
          <w:cantSplit/>
        </w:trPr>
        <w:tc>
          <w:tcPr>
            <w:tcW w:type="dxa" w:w="278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Pydantic, pydantic-settings</w:t>
            </w:r>
          </w:p>
        </w:tc>
        <w:tc>
          <w:tcPr>
            <w:tcW w:type="dxa" w:w="656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Проверка схем и конфигурации</w:t>
            </w:r>
          </w:p>
        </w:tc>
      </w:tr>
      <w:tr>
        <w:trPr>
          <w:cantSplit/>
        </w:trPr>
        <w:tc>
          <w:tcPr>
            <w:tcW w:type="dxa" w:w="278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HTTPX, websockets</w:t>
            </w:r>
          </w:p>
        </w:tc>
        <w:tc>
          <w:tcPr>
            <w:tcW w:type="dxa" w:w="656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Межсервисные запросы и потоки событий</w:t>
            </w:r>
          </w:p>
        </w:tc>
      </w:tr>
      <w:tr>
        <w:trPr>
          <w:cantSplit/>
        </w:trPr>
        <w:tc>
          <w:tcPr>
            <w:tcW w:type="dxa" w:w="278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psycopg</w:t>
            </w:r>
          </w:p>
        </w:tc>
        <w:tc>
          <w:tcPr>
            <w:tcW w:type="dxa" w:w="656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Доступ к PostgreSQL</w:t>
            </w:r>
          </w:p>
        </w:tc>
      </w:tr>
      <w:tr>
        <w:trPr>
          <w:cantSplit/>
        </w:trPr>
        <w:tc>
          <w:tcPr>
            <w:tcW w:type="dxa" w:w="278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python-dotenv</w:t>
            </w:r>
          </w:p>
        </w:tc>
        <w:tc>
          <w:tcPr>
            <w:tcW w:type="dxa" w:w="656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Чтение локальной конфигурации</w:t>
            </w:r>
          </w:p>
        </w:tc>
      </w:tr>
      <w:tr>
        <w:trPr>
          <w:cantSplit/>
        </w:trPr>
        <w:tc>
          <w:tcPr>
            <w:tcW w:type="dxa" w:w="278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ldap3</w:t>
            </w:r>
          </w:p>
        </w:tc>
        <w:tc>
          <w:tcPr>
            <w:tcW w:type="dxa" w:w="656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Проверка учётных данных каталога по LDAPS</w:t>
            </w:r>
          </w:p>
        </w:tc>
      </w:tr>
      <w:tr>
        <w:trPr>
          <w:cantSplit/>
        </w:trPr>
        <w:tc>
          <w:tcPr>
            <w:tcW w:type="dxa" w:w="278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openpyxl</w:t>
            </w:r>
          </w:p>
        </w:tc>
        <w:tc>
          <w:tcPr>
            <w:tcW w:type="dxa" w:w="656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XLSX, классификаторы и выгрузки</w:t>
            </w:r>
          </w:p>
        </w:tc>
      </w:tr>
      <w:tr>
        <w:trPr>
          <w:cantSplit/>
        </w:trPr>
        <w:tc>
          <w:tcPr>
            <w:tcW w:type="dxa" w:w="278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pypdf, pypdfium2</w:t>
            </w:r>
          </w:p>
        </w:tc>
        <w:tc>
          <w:tcPr>
            <w:tcW w:type="dxa" w:w="656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Чтение PDF и подготовка страниц для OCR</w:t>
            </w:r>
          </w:p>
        </w:tc>
      </w:tr>
      <w:tr>
        <w:trPr>
          <w:cantSplit/>
        </w:trPr>
        <w:tc>
          <w:tcPr>
            <w:tcW w:type="dxa" w:w="278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ReportLab</w:t>
            </w:r>
          </w:p>
        </w:tc>
        <w:tc>
          <w:tcPr>
            <w:tcW w:type="dxa" w:w="656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Формирование PDF-отчётов и сертификатов</w:t>
            </w:r>
          </w:p>
        </w:tc>
      </w:tr>
      <w:tr>
        <w:trPr>
          <w:cantSplit/>
        </w:trPr>
        <w:tc>
          <w:tcPr>
            <w:tcW w:type="dxa" w:w="278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Pillow</w:t>
            </w:r>
          </w:p>
        </w:tc>
        <w:tc>
          <w:tcPr>
            <w:tcW w:type="dxa" w:w="656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Обработка документных изображений</w:t>
            </w:r>
          </w:p>
        </w:tc>
      </w:tr>
      <w:tr>
        <w:trPr>
          <w:cantSplit/>
        </w:trPr>
        <w:tc>
          <w:tcPr>
            <w:tcW w:type="dxa" w:w="278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NumPy</w:t>
            </w:r>
          </w:p>
        </w:tc>
        <w:tc>
          <w:tcPr>
            <w:tcW w:type="dxa" w:w="656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Представление и обработка аудиоданных</w:t>
            </w:r>
          </w:p>
        </w:tc>
      </w:tr>
      <w:tr>
        <w:trPr>
          <w:cantSplit/>
        </w:trPr>
        <w:tc>
          <w:tcPr>
            <w:tcW w:type="dxa" w:w="278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Vosk, sherpa-onnx</w:t>
            </w:r>
          </w:p>
        </w:tc>
        <w:tc>
          <w:tcPr>
            <w:tcW w:type="dxa" w:w="656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Локальное распознавание</w:t>
            </w:r>
          </w:p>
        </w:tc>
      </w:tr>
      <w:tr>
        <w:trPr>
          <w:cantSplit/>
        </w:trPr>
        <w:tc>
          <w:tcPr>
            <w:tcW w:type="dxa" w:w="278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PyTorch</w:t>
            </w:r>
          </w:p>
        </w:tc>
        <w:tc>
          <w:tcPr>
            <w:tcW w:type="dxa" w:w="656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Исполнение модели Silero</w:t>
            </w:r>
          </w:p>
        </w:tc>
      </w:tr>
      <w:tr>
        <w:trPr>
          <w:cantSplit/>
        </w:trPr>
        <w:tc>
          <w:tcPr>
            <w:tcW w:type="dxa" w:w="278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cryptography</w:t>
            </w:r>
          </w:p>
        </w:tc>
        <w:tc>
          <w:tcPr>
            <w:tcW w:type="dxa" w:w="656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Шифрование резервных архивов</w:t>
            </w:r>
          </w:p>
        </w:tc>
      </w:tr>
      <w:tr>
        <w:trPr>
          <w:cantSplit/>
        </w:trPr>
        <w:tc>
          <w:tcPr>
            <w:tcW w:type="dxa" w:w="278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pytest, pytest-asyncio</w:t>
            </w:r>
          </w:p>
        </w:tc>
        <w:tc>
          <w:tcPr>
            <w:tcW w:type="dxa" w:w="656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Автоматические проверки Python</w:t>
            </w:r>
          </w:p>
        </w:tc>
      </w:tr>
      <w:tr>
        <w:trPr>
          <w:cantSplit/>
        </w:trPr>
        <w:tc>
          <w:tcPr>
            <w:tcW w:type="dxa" w:w="278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Playwright</w:t>
            </w:r>
          </w:p>
        </w:tc>
        <w:tc>
          <w:tcPr>
            <w:tcW w:type="dxa" w:w="656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Проверки браузерных сценариев</w:t>
            </w:r>
          </w:p>
        </w:tc>
      </w:tr>
    </w:tbl>
    <w:p>
      <w:pPr>
        <w:spacing w:after="0"/>
      </w:pPr>
    </w:p>
    <w:p>
      <w:r>
        <w:t>Piper поддерживается как альтернативный локальный синтезатор, но в измеренном профиле выбран Silero. Полный перечень установленных Python-пакетов с версиями включён в файл technology_inventory.json рядом с документами; он дополняет прямые зависимости backend/requirements.txt, frontend/requirements.txt, voice/pyproject.toml и deploy/requirements.txt.</w:t>
      </w:r>
    </w:p>
    <w:p>
      <w:pPr>
        <w:pStyle w:val="Heading1"/>
      </w:pPr>
      <w:r>
        <w:t>5 Инфраструктура и форматы</w:t>
      </w:r>
    </w:p>
    <w:p>
      <w:r>
        <w:t>Используются Docker Compose, PostgreSQL 16, Asterisk 22.11.0, Ollama и OpenSSL. Дополнительный профиль балансировки использует HAProxy; тестовый каталог — OpenLDAP. Каталог организации подключается по его адресу и параметрам LDAPS.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25"/>
        <w:gridCol w:w="7030"/>
      </w:tblGrid>
      <w:tr>
        <w:trPr>
          <w:cantSplit/>
          <w:tblHeader/>
        </w:trPr>
        <w:tc>
          <w:tcPr>
            <w:tcW w:type="dxa" w:w="2325"/>
            <w:tcMar>
              <w:top w:w="80" w:type="dxa"/>
              <w:left w:w="80" w:type="dxa"/>
              <w:bottom w:w="80" w:type="dxa"/>
              <w:right w:w="80" w:type="dxa"/>
            </w:tcMar>
            <w:shd w:fill="EEEEEE"/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/>
                <w:sz w:val="22"/>
              </w:rPr>
              <w:t>Интерфейс или формат</w:t>
            </w:r>
          </w:p>
        </w:tc>
        <w:tc>
          <w:tcPr>
            <w:tcW w:type="dxa" w:w="7030"/>
            <w:tcMar>
              <w:top w:w="80" w:type="dxa"/>
              <w:left w:w="80" w:type="dxa"/>
              <w:bottom w:w="80" w:type="dxa"/>
              <w:right w:w="80" w:type="dxa"/>
            </w:tcMar>
            <w:shd w:fill="EEEEEE"/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/>
                <w:sz w:val="22"/>
              </w:rPr>
              <w:t>Использование</w:t>
            </w:r>
          </w:p>
        </w:tc>
      </w:tr>
      <w:tr>
        <w:trPr>
          <w:cantSplit/>
        </w:trPr>
        <w:tc>
          <w:tcPr>
            <w:tcW w:type="dxa" w:w="232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REST /api/v1</w:t>
            </w:r>
          </w:p>
        </w:tc>
        <w:tc>
          <w:tcPr>
            <w:tcW w:type="dxa" w:w="703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Аккаунты, задания, карточки, оценка и администрирование</w:t>
            </w:r>
          </w:p>
        </w:tc>
      </w:tr>
      <w:tr>
        <w:trPr>
          <w:cantSplit/>
        </w:trPr>
        <w:tc>
          <w:tcPr>
            <w:tcW w:type="dxa" w:w="232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WebSocket /ws/v1</w:t>
            </w:r>
          </w:p>
        </w:tc>
        <w:tc>
          <w:tcPr>
            <w:tcW w:type="dxa" w:w="703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События диалога и взаимодействие с голосом</w:t>
            </w:r>
          </w:p>
        </w:tc>
      </w:tr>
      <w:tr>
        <w:trPr>
          <w:cantSplit/>
        </w:trPr>
        <w:tc>
          <w:tcPr>
            <w:tcW w:type="dxa" w:w="232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OpenAPI и AsyncAPI</w:t>
            </w:r>
          </w:p>
        </w:tc>
        <w:tc>
          <w:tcPr>
            <w:tcW w:type="dxa" w:w="703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Машиночитаемые контракты</w:t>
            </w:r>
          </w:p>
        </w:tc>
      </w:tr>
      <w:tr>
        <w:trPr>
          <w:cantSplit/>
        </w:trPr>
        <w:tc>
          <w:tcPr>
            <w:tcW w:type="dxa" w:w="232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JSON</w:t>
            </w:r>
          </w:p>
        </w:tc>
        <w:tc>
          <w:tcPr>
            <w:tcW w:type="dxa" w:w="703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Сценарии, эталоны, события, экспорт и API</w:t>
            </w:r>
          </w:p>
        </w:tc>
      </w:tr>
      <w:tr>
        <w:trPr>
          <w:cantSplit/>
        </w:trPr>
        <w:tc>
          <w:tcPr>
            <w:tcW w:type="dxa" w:w="232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XML</w:t>
            </w:r>
          </w:p>
        </w:tc>
        <w:tc>
          <w:tcPr>
            <w:tcW w:type="dxa" w:w="703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Импорт и экспорт поддерживаемых настроек и материалов</w:t>
            </w:r>
          </w:p>
        </w:tc>
      </w:tr>
      <w:tr>
        <w:trPr>
          <w:cantSplit/>
        </w:trPr>
        <w:tc>
          <w:tcPr>
            <w:tcW w:type="dxa" w:w="232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CSV и XLSX</w:t>
            </w:r>
          </w:p>
        </w:tc>
        <w:tc>
          <w:tcPr>
            <w:tcW w:type="dxa" w:w="703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Статистика и табличный обмен</w:t>
            </w:r>
          </w:p>
        </w:tc>
      </w:tr>
      <w:tr>
        <w:trPr>
          <w:cantSplit/>
        </w:trPr>
        <w:tc>
          <w:tcPr>
            <w:tcW w:type="dxa" w:w="232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PDF и DOCX</w:t>
            </w:r>
          </w:p>
        </w:tc>
        <w:tc>
          <w:tcPr>
            <w:tcW w:type="dxa" w:w="703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Отчёты, сертификаты и методические материалы</w:t>
            </w:r>
          </w:p>
        </w:tc>
      </w:tr>
      <w:tr>
        <w:trPr>
          <w:cantSplit/>
        </w:trPr>
        <w:tc>
          <w:tcPr>
            <w:tcW w:type="dxa" w:w="232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WAV и аудиозаписи</w:t>
            </w:r>
          </w:p>
        </w:tc>
        <w:tc>
          <w:tcPr>
            <w:tcW w:type="dxa" w:w="703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Учебные разговоры и проверочные записи</w:t>
            </w:r>
          </w:p>
        </w:tc>
      </w:tr>
      <w:tr>
        <w:trPr>
          <w:cantSplit/>
        </w:trPr>
        <w:tc>
          <w:tcPr>
            <w:tcW w:type="dxa" w:w="232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TLS, WSS, SRTP</w:t>
            </w:r>
          </w:p>
        </w:tc>
        <w:tc>
          <w:tcPr>
            <w:tcW w:type="dxa" w:w="703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Защищённые сетевые соединения профиля</w:t>
            </w:r>
          </w:p>
        </w:tc>
      </w:tr>
    </w:tbl>
    <w:p>
      <w:pPr>
        <w:spacing w:after="0"/>
      </w:pPr>
    </w:p>
    <w:p>
      <w:r>
        <w:t>XML-обмен охватывает определённые схемы приложения. Он не объявляется универсальной совместимостью со всеми внешними форматами Системы-112. CSV/XLSX защищают текстовые значения от интерпретации как формул при выгрузке.</w:t>
      </w:r>
    </w:p>
    <w:p>
      <w:pPr>
        <w:pStyle w:val="Heading1"/>
      </w:pPr>
      <w:r>
        <w:t>6 Хранение и воспроизводимость</w:t>
      </w:r>
    </w:p>
    <w:p>
      <w:r>
        <w:t>Основные данные находятся в PostgreSQL; аудио и служебные очереди — в постоянных томах. Карта использует отдельный SQLite-пакет только как картографический ресурс, не как замену основной БД. Секреты передаются через окружение и не входят в образ или Git.</w:t>
      </w:r>
    </w:p>
    <w:p>
      <w:r>
        <w:t>Для воспроизводимой поставки фиксируют коммит, хеши контейнерных образов, файлы и контрольные суммы моделей и карты, версии зависимостей и конфигурационный профиль. Диапазоны версий в requirements задают допустимые зависимости, а снимок установленной среды фиксирует конкретный стенд.</w:t>
      </w:r>
    </w:p>
    <w:p>
      <w:r>
        <w:t>Лицензии кода, моделей, шрифтов и карты рассматриваются отдельно. При передаче весов необходимо сохранить сопровождающие лицензионные файлы. Каждая модель поставляется со своей лицензией. Для данных OpenStreetMap сохраняется атрибуция источника.</w:t>
      </w:r>
    </w:p>
    <w:p>
      <w:pPr>
        <w:pStyle w:val="Heading1"/>
      </w:pPr>
      <w:r>
        <w:t>7 Дополнительные возможности и развитие</w:t>
      </w:r>
    </w:p>
    <w:p>
      <w:r>
        <w:t>Новые упражнения добавляются через версионную библиотеку. Для новых служб расширяются справочник, классификатор, получатели территории и профиля, а затем проверяются сценарии. Не следует жёстко привязывать алгоритм к одной ДДС.</w:t>
      </w:r>
    </w:p>
    <w:p>
      <w:r>
        <w:t>Телефонная модель меняется через PHONE_LLM_MODEL после проверки роли, фактов и задержек. Увеличение контекста повышает стоимость обработки; сначала целесообразно сокращать повторные доклады и несущественную историю. Увеличение числа потоков CPU требует измерения, поскольку STT и TTS используют тот же процессор.</w:t>
      </w:r>
    </w:p>
    <w:p>
      <w:r>
        <w:t>Переключение CPU/GPU выполняется параметром LLM_DEVICE без изменения кода; замеры обоих режимов — в Т112 ПД 08. Расширение количества голосовых узлов требует маршрутизации звонков и состояния Voice; увеличение числа Backend-реплик само по себе не увеличивает пропускную способность модели.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850" w:bottom="1134" w:left="1701" w:header="454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r/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ind w:firstLine="0"/>
      <w:jc w:val="right"/>
    </w:pPr>
    <w:r>
      <w:rPr>
        <w:sz w:val="20"/>
      </w:rPr>
      <w:t>Т112 ПД 06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60" w:lineRule="auto" w:after="100"/>
      <w:ind w:firstLine="709"/>
    </w:pPr>
    <w:rPr>
      <w:rFonts w:ascii="Times New Roman" w:hAnsi="Times New Roman" w:eastAsia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ind w:firstLine="0"/>
      <w:outlineLvl w:val="0"/>
    </w:pPr>
    <w:rPr>
      <w:rFonts w:ascii="Times New Roman" w:hAnsi="Times New Roman" w:eastAsia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ind w:firstLine="0"/>
      <w:outlineLvl w:val="1"/>
    </w:pPr>
    <w:rPr>
      <w:rFonts w:ascii="Times New Roman" w:hAnsi="Times New Roman" w:eastAsia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ind w:firstLine="0"/>
      <w:contextualSpacing/>
    </w:pPr>
    <w:rPr>
      <w:rFonts w:ascii="Times New Roman" w:hAnsi="Times New Roman" w:eastAsia="Times New Roman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ind w:firstLine="0"/>
    </w:pPr>
    <w:rPr>
      <w:rFonts w:ascii="Times New Roman" w:hAnsi="Times New Roman" w:eastAsia="Times New Roman"/>
      <w:i w:val="0"/>
      <w:iCs/>
      <w:color w:val="00000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  <w:ind w:firstLine="0"/>
    </w:pPr>
    <w:rPr>
      <w:rFonts w:ascii="Times New Roman" w:hAnsi="Times New Roman" w:eastAsia="Times New Roman"/>
      <w:b w:val="0"/>
      <w:bCs/>
      <w:color w:val="000000"/>
      <w:sz w:val="24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программного обеспечения и технологий</dc:title>
  <dc:subject>Т112 ПД 06</dc:subject>
  <dc:creator>Кодзаев Николай Петрович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ru-RU</dc:language>
</cp:coreProperties>
</file>