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Протокол измерений и направления повышения эффективности</w:t>
      </w:r>
    </w:p>
    <w:p>
      <w:pPr>
        <w:ind w:firstLine="0"/>
        <w:jc w:val="center"/>
      </w:pPr>
      <w:r>
        <w:t>Т112 ПД 08</w:t>
      </w:r>
    </w:p>
    <w:p/>
    <w:p>
      <w:pPr>
        <w:ind w:firstLine="0"/>
        <w:jc w:val="center"/>
      </w:pPr>
      <w:r>
        <w:t>Программная версия 9fb10f8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Документ фиксирует измеренные задержки локального диалога на CPU и GPU и выполненные проверки программной версии. Отдельно приведены расчётные варианты модернизации. Расчёт модернизации приведён отдельно от замеров.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Объект и условия измерения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Результат полного голосового упражнения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Изменения для ускорения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Сравнение вариантов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Другие измерения и проверки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6 Видеокарта и процессор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7 Порядок повторения и исходные данные</w:t>
        <w:tab/>
        <w:t>6</w:t>
      </w:r>
    </w:p>
    <w:p>
      <w:r>
        <w:br w:type="page"/>
      </w:r>
    </w:p>
    <w:p>
      <w:pPr>
        <w:pStyle w:val="Heading1"/>
      </w:pPr>
      <w:r>
        <w:t>1 Объект и условия измерения</w:t>
      </w:r>
    </w:p>
    <w:p>
      <w:r>
        <w:t>Контрольный стенд: AMD Ryzen 5 5600, шесть физических ядер и двенадцать логических потоков, 32 ГБ RAM, Windows и Docker Desktop, Ollama 0.34.4. Телефонная модель — qwen3:4b-instruct-2507-q4_K_M. Контекст 4096, шесть потоков CPU, num_gpu=0. Ollama показывал 100% CPU и около 3,2 ГБ памяти модели.</w:t>
      </w:r>
    </w:p>
    <w:p>
      <w:r>
        <w:t>Использовались синтетические учебные сведения. Все вычисления модели, распознавания и синтеза выполнялись локально. Время загрузки весов не включалось в замер прогретого ответа. Во время сравнительных проб GPU был отключён для инференса; результаты GPU-тестов в этот протокол не включены.</w:t>
      </w:r>
    </w:p>
    <w:p>
      <w:r>
        <w:t>Измеряются разные интервалы: генерация модели; обработка речевого хода Voice; длительность произнесённой реплики; длительность упражнения. Эти показатели нельзя сравнивать между собой как одну «задержку звонка».</w:t>
      </w:r>
    </w:p>
    <w:p>
      <w:pPr>
        <w:pStyle w:val="Heading1"/>
      </w:pPr>
      <w:r>
        <w:t>2 Результат полного голосового упражнения</w:t>
      </w:r>
    </w:p>
    <w:p>
      <w:r>
        <w:t>В финальном проходе завершены пять SIP-звонков: первоначальный доклад дежурному и четыре оперативных доклада. Четыре уточняющих вопроса распознаны, ответы воспроизведены. Карточка и занятие завершены, отчёт преподавателя получен.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49"/>
        <w:gridCol w:w="2303"/>
        <w:gridCol w:w="2303"/>
      </w:tblGrid>
      <w:tr>
        <w:trPr>
          <w:cantSplit/>
          <w:tblHeader/>
        </w:trPr>
        <w:tc>
          <w:tcPr>
            <w:tcW w:type="dxa" w:w="474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Генерация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Время модели в секундах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Выходных токенов</w:t>
            </w:r>
          </w:p>
        </w:tc>
      </w:tr>
      <w:tr>
        <w:trPr>
          <w:cantSplit/>
        </w:trPr>
        <w:tc>
          <w:tcPr>
            <w:tcW w:type="dxa" w:w="47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Подтверждение доклада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3,470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36</w:t>
            </w:r>
          </w:p>
        </w:tc>
      </w:tr>
      <w:tr>
        <w:trPr>
          <w:cantSplit/>
        </w:trPr>
        <w:tc>
          <w:tcPr>
            <w:tcW w:type="dxa" w:w="47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Уточнение выезда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6,004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45</w:t>
            </w:r>
          </w:p>
        </w:tc>
      </w:tr>
      <w:tr>
        <w:trPr>
          <w:cantSplit/>
        </w:trPr>
        <w:tc>
          <w:tcPr>
            <w:tcW w:type="dxa" w:w="47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Уточнение прибытия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6,370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48</w:t>
            </w:r>
          </w:p>
        </w:tc>
      </w:tr>
      <w:tr>
        <w:trPr>
          <w:cantSplit/>
        </w:trPr>
        <w:tc>
          <w:tcPr>
            <w:tcW w:type="dxa" w:w="47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Уточнение работ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8,283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64</w:t>
            </w:r>
          </w:p>
        </w:tc>
      </w:tr>
      <w:tr>
        <w:trPr>
          <w:cantSplit/>
        </w:trPr>
        <w:tc>
          <w:tcPr>
            <w:tcW w:type="dxa" w:w="47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Уточнение результата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9,239</w:t>
            </w:r>
          </w:p>
        </w:tc>
        <w:tc>
          <w:tcPr>
            <w:tcW w:type="dxa" w:w="23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61</w:t>
            </w:r>
          </w:p>
        </w:tc>
      </w:tr>
    </w:tbl>
    <w:p>
      <w:pPr>
        <w:spacing w:after="0"/>
      </w:pPr>
    </w:p>
    <w:p>
      <w:r>
        <w:t>Среднее время модели — 6,673 секунды, медиана — 6,370 секунды. Все пять ответов завершены штатно, без модельного таймаута. Интервал метрики total_turn_latency_ms для этих ходов составил 5,022–10,731 секунды. Он не включает полную длительность последующего прослушивания реплики.</w:t>
      </w:r>
    </w:p>
    <w:p>
      <w:r>
        <w:t>Суммарно сгенерировано 254 выходных токена за 33,366 секунды запросов: эффективная скорость около 7,61 токена в секунду с учётом обработки входа и накладных расходов. Четыре быстрых ответа по правилу о пострадавших исключены из статистики LLM.</w:t>
      </w:r>
    </w:p>
    <w:p>
      <w:r>
        <w:t>Итог учебного оценивания — 91,67%, 11 из 12 проверок, без критических ошибок. Голосовой цикл пройден полностью.</w:t>
      </w:r>
    </w:p>
    <w:p>
      <w:pPr>
        <w:pStyle w:val="Heading1"/>
      </w:pPr>
      <w:r>
        <w:t>3 Изменения для ускорения</w:t>
      </w:r>
    </w:p>
    <w:p>
      <w:r>
        <w:t>Телефонная модель отделена от модели авторинга. Удалены повторные чтения уже переданного доклада из контекста, сохранены исходные факты и последние шесть реплик. Управляющие инструкции сокращены; произносимый текст и адреса остаются русскими. Лимит выхода действительно передаётся провайдеру.</w:t>
      </w:r>
    </w:p>
    <w:p>
      <w:r>
        <w:t>Исправлен прогрев: запрос идёт на настроенный OLLAMA_URL, а не на localhost контейнера. Веса удерживаются в памяти. Общий предел ожидания телефонной модели установлен в 15 секунд, включая корректирующий повтор роли в режиме 112.</w:t>
      </w:r>
    </w:p>
    <w:p>
      <w:r>
        <w:t>Модель не управляет оценками и не открывает статусы. При недоступности генерации применяется предусмотренный ответ по доступным фактам. Сведения о пострадавших сверяются с фактами сценария.</w:t>
      </w:r>
    </w:p>
    <w:p>
      <w:pPr>
        <w:pStyle w:val="Heading1"/>
      </w:pPr>
      <w:r>
        <w:t>4 Сравнение вариантов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9"/>
        <w:gridCol w:w="7085"/>
      </w:tblGrid>
      <w:tr>
        <w:trPr>
          <w:cantSplit/>
          <w:tblHeader/>
        </w:trPr>
        <w:tc>
          <w:tcPr>
            <w:tcW w:type="dxa" w:w="226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type="dxa" w:w="708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Наблюдение при выборе</w:t>
            </w:r>
          </w:p>
        </w:tc>
      </w:tr>
      <w:tr>
        <w:trPr>
          <w:cantSplit/>
        </w:trPr>
        <w:tc>
          <w:tcPr>
            <w:tcW w:type="dxa" w:w="22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Прежняя Qwen3 4B</w:t>
            </w:r>
          </w:p>
        </w:tc>
        <w:tc>
          <w:tcPr>
            <w:tcW w:type="dxa" w:w="70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На четырёх исходных вопросах 7,5–30,2 с</w:t>
            </w:r>
          </w:p>
        </w:tc>
      </w:tr>
      <w:tr>
        <w:trPr>
          <w:cantSplit/>
        </w:trPr>
        <w:tc>
          <w:tcPr>
            <w:tcW w:type="dxa" w:w="22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Qwen3 1.7B Q4</w:t>
            </w:r>
          </w:p>
        </w:tc>
        <w:tc>
          <w:tcPr>
            <w:tcW w:type="dxa" w:w="70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Быстрее, но допускала смену роли и постороннюю оценку ученика</w:t>
            </w:r>
          </w:p>
        </w:tc>
      </w:tr>
      <w:tr>
        <w:trPr>
          <w:cantSplit/>
        </w:trPr>
        <w:tc>
          <w:tcPr>
            <w:tcW w:type="dxa" w:w="22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Qwen3.5 2B Q8</w:t>
            </w:r>
          </w:p>
        </w:tc>
        <w:tc>
          <w:tcPr>
            <w:tcW w:type="dxa" w:w="70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 первом наборе около 9–12 с, неудачные уточнения</w:t>
            </w:r>
          </w:p>
        </w:tc>
      </w:tr>
      <w:tr>
        <w:trPr>
          <w:cantSplit/>
        </w:trPr>
        <w:tc>
          <w:tcPr>
            <w:tcW w:type="dxa" w:w="22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Qwen3.5 2B Q4</w:t>
            </w:r>
          </w:p>
        </w:tc>
        <w:tc>
          <w:tcPr>
            <w:tcW w:type="dxa" w:w="70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4,1–9,6 с, смешение языков и повторения</w:t>
            </w:r>
          </w:p>
        </w:tc>
      </w:tr>
      <w:tr>
        <w:trPr>
          <w:cantSplit/>
        </w:trPr>
        <w:tc>
          <w:tcPr>
            <w:tcW w:type="dxa" w:w="22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Qwen3 4B Instruct Q4</w:t>
            </w:r>
          </w:p>
        </w:tc>
        <w:tc>
          <w:tcPr>
            <w:tcW w:type="dxa" w:w="70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Выбрана по сочетанию скорости и соблюдения роли</w:t>
            </w:r>
          </w:p>
        </w:tc>
      </w:tr>
    </w:tbl>
    <w:p>
      <w:pPr>
        <w:spacing w:after="0"/>
      </w:pPr>
    </w:p>
    <w:p>
      <w:r>
        <w:t>В дополнительном наборе из 11 запросов выбранная модель дала ответы за 1,330–13,940 секунды без таймаута. Варианты запускались с разными промптами, числом потоков и историей.</w:t>
      </w:r>
    </w:p>
    <w:p>
      <w:pPr>
        <w:pStyle w:val="Heading1"/>
      </w:pPr>
      <w:r>
        <w:t>5 Другие измерения и проверки</w:t>
      </w:r>
    </w:p>
    <w:p>
      <w:r>
        <w:t>После изменений выполнены 355 тестов Backend, прокси и подготовки развёртывания; три теста пропущены. Отдельно выполнены 56 тестов Voice. Синтаксис изменённых JavaScript-файлов проверен.</w:t>
      </w:r>
    </w:p>
    <w:p>
      <w:r>
        <w:t>В отдельном замере синтеза пакет из 20 реплик после прогрева обрабатывался за 4,449 секунды одним процессом и за 2,980 секунды двумя процессами. Это ускорение примерно в 1,49 раза. Измерялось время синтеза пакета из 20 реплик.</w:t>
      </w:r>
    </w:p>
    <w:p>
      <w:r>
        <w:t>Контрольный запрос геометрии карты после изменения плана выборки занимал 1,009 секунды вместо 4,564–4,791 секунды. Замер выполнен для контрольного запроса геометрии. Источник: docs/ACCEPTANCE_2026-09-27.md.</w:t>
      </w:r>
    </w:p>
    <w:p>
      <w:r>
        <w:t>Авторинг использует отдельный длительный бюджет генерации. Телефонный лимит 15 секунд применяется к разговору.</w:t>
      </w:r>
    </w:p>
    <w:p>
      <w:pPr>
        <w:pStyle w:val="Heading1"/>
      </w:pPr>
      <w:r>
        <w:t>6 Видеокарта и процессор</w:t>
      </w:r>
    </w:p>
    <w:p>
      <w:r>
        <w:t>Устройство языковой модели выбирается параметром «Устройство модели» (LLM_DEVICE) без изменения кода: авто, только CPU, видеокарта. Замер 27.09.2026: qwen3:4b-instruct-2507-q4_K_M, свободная реплика бригады, 80 токенов, после прогрева, три прогона.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52"/>
        <w:gridCol w:w="3003"/>
      </w:tblGrid>
      <w:tr>
        <w:trPr>
          <w:cantSplit/>
          <w:tblHeader/>
        </w:trPr>
        <w:tc>
          <w:tcPr>
            <w:tcW w:type="dxa" w:w="635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Режим</w:t>
            </w:r>
          </w:p>
        </w:tc>
        <w:tc>
          <w:tcPr>
            <w:tcW w:type="dxa" w:w="300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Время ответа модели</w:t>
            </w:r>
          </w:p>
        </w:tc>
      </w:tr>
      <w:tr>
        <w:trPr>
          <w:cantSplit/>
        </w:trPr>
        <w:tc>
          <w:tcPr>
            <w:tcW w:type="dxa" w:w="63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Видеокарта RTX 5060 Ti 8 ГБ (авто или GPU)</w:t>
            </w:r>
          </w:p>
        </w:tc>
        <w:tc>
          <w:tcPr>
            <w:tcW w:type="dxa" w:w="30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0,40–0,48 с</w:t>
            </w:r>
          </w:p>
        </w:tc>
      </w:tr>
      <w:tr>
        <w:trPr>
          <w:cantSplit/>
        </w:trPr>
        <w:tc>
          <w:tcPr>
            <w:tcW w:type="dxa" w:w="63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Процессор, шесть потоков (CPU)</w:t>
            </w:r>
          </w:p>
        </w:tc>
        <w:tc>
          <w:tcPr>
            <w:tcW w:type="dxa" w:w="30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1,85–3,22 с</w:t>
            </w:r>
          </w:p>
        </w:tc>
      </w:tr>
      <w:tr>
        <w:trPr>
          <w:cantSplit/>
        </w:trPr>
        <w:tc>
          <w:tcPr>
            <w:tcW w:type="dxa" w:w="63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Типовые ходы доклада (без модели)</w:t>
            </w:r>
          </w:p>
        </w:tc>
        <w:tc>
          <w:tcPr>
            <w:tcW w:type="dxa" w:w="300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около 0,2 с</w:t>
            </w:r>
          </w:p>
        </w:tc>
      </w:tr>
    </w:tbl>
    <w:p>
      <w:pPr>
        <w:spacing w:after="0"/>
      </w:pPr>
    </w:p>
    <w:p>
      <w:r>
        <w:t>Типовые ходы — принятие сведений, уточнение недостающего факта, подтверждение приёма — обрабатываются правилами и не ждут модель. Оценка действий детерминирована и от устройства не зависит.</w:t>
      </w:r>
    </w:p>
    <w:p>
      <w:pPr>
        <w:pStyle w:val="Heading1"/>
      </w:pPr>
      <w:r>
        <w:t>7 Порядок повторения и исходные данные</w:t>
      </w:r>
    </w:p>
    <w:p>
      <w:r>
        <w:t>CPU-пробы повторяются tools/benchmark_phone_cpu.py; реальный голосовой цикл — tools/acceptance_dds_sip.py --followups. Второй инструмент создаёт синтетическое занятие и использует отдельный телефонный номер, поэтому его запускают только после согласования окна проверки.</w:t>
      </w:r>
    </w:p>
    <w:p>
      <w:r>
        <w:t>В комплект включён файл measurements.json с числовыми результатами и условиями. Исходные локальные материалы проверки: artifacts/cpu-phone-2026-09-27/sip-final2/result.json и final-controlled.json. Записи разговоров, токены сессий и полные технические журналы в открытый документ не переносятся.</w:t>
      </w:r>
    </w:p>
    <w:p>
      <w:r>
        <w:t>Критерий повторения: указать оборудование, версии, модель, число потоков, состояние прогрева и фоновые процессы; записать каждую задержку, число токенов, ошибки и условия завершения. Нельзя сравнивать холодный первый запрос одного варианта с прогретым запросом другого без отдельного обозначения.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измерений и направления повышения эффективности</dc:title>
  <dc:subject>Т112 ПД 08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