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3A5B"/>
          <w:sz w:val="56"/>
        </w:rPr>
        <w:t>ClaimProof</w:t>
      </w:r>
    </w:p>
    <w:p>
      <w:r>
        <w:rPr>
          <w:i/>
          <w:color w:val="335C67"/>
          <w:sz w:val="28"/>
        </w:rPr>
        <w:t>Google Cloud AI Builder Cup 2026</w:t>
      </w:r>
    </w:p>
    <w:p>
      <w:pPr>
        <w:spacing w:after="120"/>
      </w:pPr>
      <w:r>
        <w:rPr>
          <w:b/>
          <w:sz w:val="22"/>
        </w:rPr>
        <w:t xml:space="preserve">Theme: </w:t>
      </w:r>
      <w:r>
        <w:rPr>
          <w:sz w:val="22"/>
        </w:rPr>
        <w:t>BFSI — Intelligent Risk, Fraud &amp; Financial Experiences</w:t>
      </w:r>
    </w:p>
    <w:p>
      <w:pPr>
        <w:spacing w:after="120"/>
      </w:pPr>
      <w:r>
        <w:rPr>
          <w:b/>
          <w:sz w:val="22"/>
        </w:rPr>
        <w:t xml:space="preserve">Tagline: </w:t>
      </w:r>
      <w:r>
        <w:rPr>
          <w:sz w:val="22"/>
        </w:rPr>
        <w:t>A health-insurance claims agent that reads the packet, checks it against the policy, and returns a cited decision a handler can send.</w:t>
      </w:r>
    </w:p>
    <w:p>
      <w:pPr>
        <w:spacing w:after="120"/>
      </w:pPr>
      <w:r>
        <w:rPr>
          <w:b/>
          <w:sz w:val="22"/>
        </w:rPr>
        <w:t xml:space="preserve">One-line pitch: </w:t>
      </w:r>
      <w:r>
        <w:rPr>
          <w:sz w:val="22"/>
        </w:rPr>
        <w:t>ClaimProof turns a 45-minute health-claim review into a 30-second cited recommendation: Approve, Query, or Escalate.</w:t>
      </w:r>
    </w:p>
    <w:p>
      <w:pPr>
        <w:pStyle w:val="Heading1"/>
      </w:pPr>
      <w:r>
        <w:rPr>
          <w:color w:val="0B3A5B"/>
        </w:rPr>
        <w:t>1. Problem statement we are solving</w:t>
      </w:r>
    </w:p>
    <w:p>
      <w:pPr>
        <w:spacing w:after="160" w:before="0"/>
      </w:pPr>
      <w:r>
        <w:rPr>
          <w:b w:val="0"/>
          <w:sz w:val="22"/>
        </w:rPr>
        <w:t>Build an AI-powered solution that addresses meaningful challenges across banking, financial services, insurance, or related industries. Solutions may focus on detecting and mitigating fraud or risk, automating complex processes, improving customer interactions, or delivering more personalized and informed financial experiences.</w:t>
      </w:r>
    </w:p>
    <w:p>
      <w:pPr>
        <w:spacing w:after="160" w:before="0"/>
      </w:pPr>
      <w:r>
        <w:rPr>
          <w:b w:val="0"/>
          <w:sz w:val="22"/>
        </w:rPr>
        <w:t>ClaimProof is built for health insurance. A claims handler must reconcile a discharge summary, an itemized hospital bill, a prescription, and a policy schedule against long policy wording. Room-rent caps, unrelated procedures, impossible dates, and duplicate lines get missed. Fraud in this process hides in contradictions between documents, not in a single transaction score. The customer then receives a rejection or a query they cannot understand. In India this shows up as slow reimbursement and opaque queries. The same review exists at every insurer, so a local health-claim workflow scales to motor, travel, and commercial lines worldwide.</w:t>
      </w:r>
    </w:p>
    <w:p>
      <w:pPr>
        <w:pStyle w:val="Heading1"/>
      </w:pPr>
      <w:r>
        <w:rPr>
          <w:color w:val="0B3A5B"/>
        </w:rPr>
        <w:t>2. Who it is for</w:t>
      </w:r>
    </w:p>
    <w:p>
      <w:pPr>
        <w:pStyle w:val="ListBullet"/>
        <w:spacing w:after="60"/>
      </w:pPr>
      <w:r>
        <w:rPr>
          <w:sz w:val="22"/>
        </w:rPr>
        <w:t>Primary user: a health-insurance claims handler reviewing a reimbursement packet.</w:t>
      </w:r>
    </w:p>
    <w:p>
      <w:pPr>
        <w:pStyle w:val="ListBullet"/>
        <w:spacing w:after="60"/>
      </w:pPr>
      <w:r>
        <w:rPr>
          <w:sz w:val="22"/>
        </w:rPr>
        <w:t>Secondary user: the policyholder, who receives the same decision in plain language and the exact next step.</w:t>
      </w:r>
    </w:p>
    <w:p>
      <w:pPr>
        <w:pStyle w:val="ListBullet"/>
        <w:spacing w:after="60"/>
      </w:pPr>
      <w:r>
        <w:rPr>
          <w:sz w:val="22"/>
        </w:rPr>
        <w:t>The handler stays in charge. The agent reads, checks, cites, and drafts. It does not auto-decline a claim.</w:t>
      </w:r>
    </w:p>
    <w:p>
      <w:pPr>
        <w:pStyle w:val="Heading1"/>
      </w:pPr>
      <w:r>
        <w:rPr>
          <w:color w:val="0B3A5B"/>
        </w:rPr>
        <w:t>3. Solution</w:t>
      </w:r>
    </w:p>
    <w:p>
      <w:pPr>
        <w:spacing w:after="160" w:before="0"/>
      </w:pPr>
      <w:r>
        <w:rPr>
          <w:b w:val="0"/>
          <w:sz w:val="22"/>
        </w:rPr>
        <w:t>The handler opens a claim. ClaimProof ingests the packet, extracts the facts, cross-checks the documents against each other, retrieves the matching policy clauses, and recommends Approve, Query, or Escalate. Every finding quotes a line from a document and a clause id from the policy on file. The agent drafts the hospital query letter and a plain-language note for the customer.</w:t>
      </w:r>
    </w:p>
    <w:p>
      <w:pPr>
        <w:spacing w:after="160" w:before="0"/>
      </w:pPr>
      <w:r>
        <w:rPr>
          <w:b w:val="0"/>
          <w:sz w:val="22"/>
        </w:rPr>
        <w:t>The prototype uses a fictional policy, Aarogya Shield Plus, with eight clauses: room-rent cap, waiting period, exclusions, consumables, pre-existing disease, required documents, sub-limits, and claim procedure. The model may cite only those clause ids. An insurer later replaces this file with its own wording through Vertex AI Search.</w:t>
      </w:r>
    </w:p>
    <w:p>
      <w:pPr>
        <w:pStyle w:val="Heading1"/>
      </w:pPr>
      <w:r>
        <w:rPr>
          <w:color w:val="0B3A5B"/>
        </w:rPr>
        <w:t>4. Suggested solution directions — all covered</w:t>
      </w:r>
    </w:p>
    <w:p>
      <w:pPr>
        <w:spacing w:after="160" w:before="0"/>
      </w:pPr>
      <w:r>
        <w:rPr>
          <w:b w:val="0"/>
          <w:sz w:val="22"/>
        </w:rPr>
        <w:t>Each direction from the BFSI brief is a concrete part of ClaimProof, not a label.</w:t>
      </w:r>
    </w:p>
    <w:p>
      <w:pPr>
        <w:pStyle w:val="Heading2"/>
      </w:pPr>
      <w:r>
        <w:rPr>
          <w:color w:val="0B3A5B"/>
        </w:rPr>
        <w:t>Fraud detection</w:t>
      </w:r>
    </w:p>
    <w:p>
      <w:pPr>
        <w:spacing w:after="160" w:before="0"/>
      </w:pPr>
      <w:r>
        <w:rPr>
          <w:b w:val="0"/>
          <w:sz w:val="22"/>
        </w:rPr>
        <w:t>The agent flags contradictions that indicate fraud or abuse: a procedure on the bill that is absent from the discharge summary, a dental implant billed during fracture treatment, duplicate line items, and a discharge date before admission. These land as Escalate or Query findings with the quoted evidence.</w:t>
      </w:r>
    </w:p>
    <w:p>
      <w:pPr>
        <w:pStyle w:val="Heading2"/>
      </w:pPr>
      <w:r>
        <w:rPr>
          <w:color w:val="0B3A5B"/>
        </w:rPr>
        <w:t>Transaction anomaly analysis</w:t>
      </w:r>
    </w:p>
    <w:p>
      <w:pPr>
        <w:spacing w:after="160" w:before="0"/>
      </w:pPr>
      <w:r>
        <w:rPr>
          <w:b w:val="0"/>
          <w:sz w:val="22"/>
        </w:rPr>
        <w:t>Each bill line is compared with the policy cap and with similar past claims in BigQuery. Room rent of ₹8,000 a day against a ₹5,000 cap, and consumable totals far above peer claims for the same procedure, are returned as anomalies with the peer count beside them.</w:t>
      </w:r>
    </w:p>
    <w:p>
      <w:pPr>
        <w:pStyle w:val="Heading2"/>
      </w:pPr>
      <w:r>
        <w:rPr>
          <w:color w:val="0B3A5B"/>
        </w:rPr>
        <w:t>Document intelligence</w:t>
      </w:r>
    </w:p>
    <w:p>
      <w:pPr>
        <w:spacing w:after="160" w:before="0"/>
      </w:pPr>
      <w:r>
        <w:rPr>
          <w:b w:val="0"/>
          <w:sz w:val="22"/>
        </w:rPr>
        <w:t>Document AI reads the hospital bill and the discharge summary into structured fields: patient, admission date, discharge date, diagnosis, procedure, room rent, and line items. Gemini then reasons over those fields. The handler sees the extracted fact next to the page it came from.</w:t>
      </w:r>
    </w:p>
    <w:p>
      <w:pPr>
        <w:pStyle w:val="Heading2"/>
      </w:pPr>
      <w:r>
        <w:rPr>
          <w:color w:val="0B3A5B"/>
        </w:rPr>
        <w:t>Financial assistance</w:t>
      </w:r>
    </w:p>
    <w:p>
      <w:pPr>
        <w:spacing w:after="160" w:before="0"/>
      </w:pPr>
      <w:r>
        <w:rPr>
          <w:b w:val="0"/>
          <w:sz w:val="22"/>
        </w:rPr>
        <w:t>The customer note explains what is covered, what is queried, and what to send next, in plain language. The handler letter tells the hospital exactly which lines to revise. The policyholder is assisted at the moment a claim would otherwise stall.</w:t>
      </w:r>
    </w:p>
    <w:p>
      <w:pPr>
        <w:pStyle w:val="Heading2"/>
      </w:pPr>
      <w:r>
        <w:rPr>
          <w:color w:val="0B3A5B"/>
        </w:rPr>
        <w:t>Personalized recommendations</w:t>
      </w:r>
    </w:p>
    <w:p>
      <w:pPr>
        <w:spacing w:after="160" w:before="0"/>
      </w:pPr>
      <w:r>
        <w:rPr>
          <w:b w:val="0"/>
          <w:sz w:val="22"/>
        </w:rPr>
        <w:t>The recommendation is specific to this policyholder and this packet: Approve when dates, procedure, and charges sit inside Aarogya Shield Plus; Query when a cap is exceeded; Escalate when documents contradict each other. Similar-claim history changes the note. If four of five similar room-rent queries were approved after a revised bill, the handler is told to query, not reject.</w:t>
      </w:r>
    </w:p>
    <w:p>
      <w:pPr>
        <w:pStyle w:val="Heading2"/>
      </w:pPr>
      <w:r>
        <w:rPr>
          <w:color w:val="0B3A5B"/>
        </w:rPr>
        <w:t>Compliance automation</w:t>
      </w:r>
    </w:p>
    <w:p>
      <w:pPr>
        <w:spacing w:after="160" w:before="0"/>
      </w:pPr>
      <w:r>
        <w:rPr>
          <w:b w:val="0"/>
          <w:sz w:val="22"/>
        </w:rPr>
        <w:t>Every conclusion cites a clause id. The audit trail stores the six agent steps, the clause ids retrieved, and the handler’s final action. A reviewer can reconstruct why the recommendation was Query without rereading the packet.</w:t>
      </w:r>
    </w:p>
    <w:p>
      <w:pPr>
        <w:pStyle w:val="Heading2"/>
      </w:pPr>
      <w:r>
        <w:rPr>
          <w:color w:val="0B3A5B"/>
        </w:rPr>
        <w:t>Risk assessment</w:t>
      </w:r>
    </w:p>
    <w:p>
      <w:pPr>
        <w:spacing w:after="160" w:before="0"/>
      </w:pPr>
      <w:r>
        <w:rPr>
          <w:b w:val="0"/>
          <w:sz w:val="22"/>
        </w:rPr>
        <w:t>Each finding has a severity. The case receives a risk level: low for a clean packet, medium when a cap is exceeded, high when documents contradict. High risk recommends Escalate for a human investigator. The score is explained by the findings, never shown as a bare number.</w:t>
      </w:r>
    </w:p>
    <w:p>
      <w:pPr>
        <w:pStyle w:val="Heading1"/>
      </w:pPr>
      <w:r>
        <w:rPr>
          <w:color w:val="0B3A5B"/>
        </w:rPr>
        <w:t>5. Suggested Google Cloud technologies — all used</w:t>
      </w:r>
    </w:p>
    <w:tbl>
      <w:tblPr>
        <w:tblStyle w:val="TableGrid"/>
        <w:tblW w:type="auto" w:w="0"/>
        <w:tblLook w:firstColumn="1" w:firstRow="1" w:lastColumn="0" w:lastRow="0" w:noHBand="0" w:noVBand="1" w:val="04A0"/>
      </w:tblPr>
      <w:tblGrid>
        <w:gridCol w:w="4824"/>
        <w:gridCol w:w="4824"/>
      </w:tblGrid>
      <w:tr>
        <w:tc>
          <w:tcPr>
            <w:tcW w:type="dxa" w:w="4824"/>
          </w:tcPr>
          <w:p>
            <w:r>
              <w:rPr>
                <w:b/>
              </w:rPr>
              <w:t>Technology</w:t>
            </w:r>
          </w:p>
        </w:tc>
        <w:tc>
          <w:tcPr>
            <w:tcW w:type="dxa" w:w="4824"/>
          </w:tcPr>
          <w:p>
            <w:r>
              <w:rPr>
                <w:b/>
              </w:rPr>
              <w:t>Role in ClaimProof</w:t>
            </w:r>
          </w:p>
        </w:tc>
      </w:tr>
      <w:tr>
        <w:tc>
          <w:tcPr>
            <w:tcW w:type="dxa" w:w="4824"/>
          </w:tcPr>
          <w:p>
            <w:r>
              <w:t>Gemini on Vertex AI</w:t>
            </w:r>
          </w:p>
        </w:tc>
        <w:tc>
          <w:tcPr>
            <w:tcW w:type="dxa" w:w="4824"/>
          </w:tcPr>
          <w:p>
            <w:r>
              <w:t>Reads the extracted packet, cross-checks documents, cites only retrieved clauses, and drafts the handler letter and the customer note.</w:t>
            </w:r>
          </w:p>
        </w:tc>
      </w:tr>
      <w:tr>
        <w:tc>
          <w:tcPr>
            <w:tcW w:type="dxa" w:w="4824"/>
          </w:tcPr>
          <w:p>
            <w:r>
              <w:t>BigQuery</w:t>
            </w:r>
          </w:p>
        </w:tc>
        <w:tc>
          <w:tcPr>
            <w:tcW w:type="dxa" w:w="4824"/>
          </w:tcPr>
          <w:p>
            <w:r>
              <w:t>Holds sample claim history. The agent queries peer claims for the same procedure and shows how often a similar anomaly was queried and later approved.</w:t>
            </w:r>
          </w:p>
        </w:tc>
      </w:tr>
      <w:tr>
        <w:tc>
          <w:tcPr>
            <w:tcW w:type="dxa" w:w="4824"/>
          </w:tcPr>
          <w:p>
            <w:r>
              <w:t>Vertex AI</w:t>
            </w:r>
          </w:p>
        </w:tc>
        <w:tc>
          <w:tcPr>
            <w:tcW w:type="dxa" w:w="4824"/>
          </w:tcPr>
          <w:p>
            <w:r>
              <w:t>Hosts the decision step. Gemini returns a structured classification: Approve, Query, or Escalate, with confidence and the finding ids that support it.</w:t>
            </w:r>
          </w:p>
        </w:tc>
      </w:tr>
      <w:tr>
        <w:tc>
          <w:tcPr>
            <w:tcW w:type="dxa" w:w="4824"/>
          </w:tcPr>
          <w:p>
            <w:r>
              <w:t>Document AI</w:t>
            </w:r>
          </w:p>
        </w:tc>
        <w:tc>
          <w:tcPr>
            <w:tcW w:type="dxa" w:w="4824"/>
          </w:tcPr>
          <w:p>
            <w:r>
              <w:t>Form and invoice parsing on the bill and discharge summary. Line items, dates, and amounts enter the agent as structured fields.</w:t>
            </w:r>
          </w:p>
        </w:tc>
      </w:tr>
      <w:tr>
        <w:tc>
          <w:tcPr>
            <w:tcW w:type="dxa" w:w="4824"/>
          </w:tcPr>
          <w:p>
            <w:r>
              <w:t>Vertex AI Search</w:t>
            </w:r>
          </w:p>
        </w:tc>
        <w:tc>
          <w:tcPr>
            <w:tcW w:type="dxa" w:w="4824"/>
          </w:tcPr>
          <w:p>
            <w:r>
              <w:t>Indexes Aarogya Shield Plus. Before reasoning, the agent retrieves the clauses that match the extracted procedure, dates, and charges.</w:t>
            </w:r>
          </w:p>
        </w:tc>
      </w:tr>
      <w:tr>
        <w:tc>
          <w:tcPr>
            <w:tcW w:type="dxa" w:w="4824"/>
          </w:tcPr>
          <w:p>
            <w:r>
              <w:t>Cloud Run</w:t>
            </w:r>
          </w:p>
        </w:tc>
        <w:tc>
          <w:tcPr>
            <w:tcW w:type="dxa" w:w="4824"/>
          </w:tcPr>
          <w:p>
            <w:r>
              <w:t>Serves the handler web app and the claims API. This is the deployed link in the submission.</w:t>
            </w:r>
          </w:p>
        </w:tc>
      </w:tr>
      <w:tr>
        <w:tc>
          <w:tcPr>
            <w:tcW w:type="dxa" w:w="4824"/>
          </w:tcPr>
          <w:p>
            <w:r>
              <w:t>Cloud SQL</w:t>
            </w:r>
          </w:p>
        </w:tc>
        <w:tc>
          <w:tcPr>
            <w:tcW w:type="dxa" w:w="4824"/>
          </w:tcPr>
          <w:p>
            <w:r>
              <w:t>Stores cases, documents metadata, findings, drafts, and the audit log. AlloyDB is the scale path for the same schema.</w:t>
            </w:r>
          </w:p>
        </w:tc>
      </w:tr>
      <w:tr>
        <w:tc>
          <w:tcPr>
            <w:tcW w:type="dxa" w:w="4824"/>
          </w:tcPr>
          <w:p>
            <w:r>
              <w:t>Pub/Sub</w:t>
            </w:r>
          </w:p>
        </w:tc>
        <w:tc>
          <w:tcPr>
            <w:tcW w:type="dxa" w:w="4824"/>
          </w:tcPr>
          <w:p>
            <w:r>
              <w:t>A claim-submitted event starts the pipeline: Document AI, clause retrieval, Gemini decision, then a result event the inbox consumes.</w:t>
            </w:r>
          </w:p>
        </w:tc>
      </w:tr>
    </w:tbl>
    <w:p/>
    <w:p>
      <w:pPr>
        <w:pStyle w:val="Heading1"/>
      </w:pPr>
      <w:r>
        <w:rPr>
          <w:color w:val="0B3A5B"/>
        </w:rPr>
        <w:t>6. What the prototype demonstrates</w:t>
      </w:r>
    </w:p>
    <w:p>
      <w:pPr>
        <w:pStyle w:val="Heading2"/>
      </w:pPr>
      <w:r>
        <w:rPr>
          <w:color w:val="0B3A5B"/>
        </w:rPr>
        <w:t>Demo case A — Query and fraud signals</w:t>
      </w:r>
    </w:p>
    <w:p>
      <w:pPr>
        <w:spacing w:after="160" w:before="0"/>
      </w:pPr>
      <w:r>
        <w:rPr>
          <w:b w:val="0"/>
          <w:sz w:val="22"/>
        </w:rPr>
        <w:t>Rohan Mehta, hospitalization claim under Aarogya Shield Plus.</w:t>
      </w:r>
    </w:p>
    <w:p>
      <w:pPr>
        <w:pStyle w:val="ListBullet"/>
        <w:spacing w:after="60"/>
      </w:pPr>
      <w:r>
        <w:rPr>
          <w:sz w:val="22"/>
        </w:rPr>
        <w:t>Room rent is ₹8,000 a day. Clause 4.2 caps it at ₹5,000. Severity: medium. Action: Query.</w:t>
      </w:r>
    </w:p>
    <w:p>
      <w:pPr>
        <w:pStyle w:val="ListBullet"/>
        <w:spacing w:after="60"/>
      </w:pPr>
      <w:r>
        <w:rPr>
          <w:sz w:val="22"/>
        </w:rPr>
        <w:t>The bill includes a dental implant. The discharge summary says fracture treatment. Clause 6.1 excludes unrelated procedures. Severity: high. Action: Escalate the line.</w:t>
      </w:r>
    </w:p>
    <w:p>
      <w:pPr>
        <w:pStyle w:val="ListBullet"/>
        <w:spacing w:after="60"/>
      </w:pPr>
      <w:r>
        <w:rPr>
          <w:sz w:val="22"/>
        </w:rPr>
        <w:t>The discharge date is before the admission date. Severity: high. Document contradiction.</w:t>
      </w:r>
    </w:p>
    <w:p>
      <w:pPr>
        <w:pStyle w:val="ListBullet"/>
        <w:spacing w:after="60"/>
      </w:pPr>
      <w:r>
        <w:rPr>
          <w:sz w:val="22"/>
        </w:rPr>
        <w:t>Case recommendation: Query. The handler letter asks the hospital to revise room rent and explain the implant line. The customer note tells Rohan what is held and what will be paid once the bill is corrected.</w:t>
      </w:r>
    </w:p>
    <w:p>
      <w:pPr>
        <w:pStyle w:val="ListBullet"/>
        <w:spacing w:after="60"/>
      </w:pPr>
      <w:r>
        <w:rPr>
          <w:sz w:val="22"/>
        </w:rPr>
        <w:t>BigQuery strip: 4 of 5 similar room-rent cases were queried and then approved after a revised bill.</w:t>
      </w:r>
    </w:p>
    <w:p>
      <w:pPr>
        <w:pStyle w:val="Heading2"/>
      </w:pPr>
      <w:r>
        <w:rPr>
          <w:color w:val="0B3A5B"/>
        </w:rPr>
        <w:t>Demo case B — Approve</w:t>
      </w:r>
    </w:p>
    <w:p>
      <w:pPr>
        <w:spacing w:after="160" w:before="0"/>
      </w:pPr>
      <w:r>
        <w:rPr>
          <w:b w:val="0"/>
          <w:sz w:val="22"/>
        </w:rPr>
        <w:t>A clean packet for the same policy. Dates are consistent, the procedure matches the summary, and charges sit inside the caps. Recommendation: Approve, with Clause 4.2 and the relevant inclusion clause cited. This shows the agent does not default to rejection.</w:t>
      </w:r>
    </w:p>
    <w:p>
      <w:pPr>
        <w:pStyle w:val="Heading2"/>
      </w:pPr>
      <w:r>
        <w:rPr>
          <w:color w:val="0B3A5B"/>
        </w:rPr>
        <w:t>Screens</w:t>
      </w:r>
    </w:p>
    <w:p>
      <w:pPr>
        <w:pStyle w:val="ListBullet"/>
        <w:spacing w:after="60"/>
      </w:pPr>
      <w:r>
        <w:rPr>
          <w:sz w:val="22"/>
        </w:rPr>
        <w:t>Inbox: both demo cases, risk level, and status.</w:t>
      </w:r>
    </w:p>
    <w:p>
      <w:pPr>
        <w:pStyle w:val="ListBullet"/>
        <w:spacing w:after="60"/>
      </w:pPr>
      <w:r>
        <w:rPr>
          <w:sz w:val="22"/>
        </w:rPr>
        <w:t>Case workspace: documents on the left, findings on the right. Each finding shows the document quote and the clause id.</w:t>
      </w:r>
    </w:p>
    <w:p>
      <w:pPr>
        <w:pStyle w:val="ListBullet"/>
        <w:spacing w:after="60"/>
      </w:pPr>
      <w:r>
        <w:rPr>
          <w:sz w:val="22"/>
        </w:rPr>
        <w:t>Decision panel: Approve, Query, or Escalate, the handler letter, and the customer note.</w:t>
      </w:r>
    </w:p>
    <w:p>
      <w:pPr>
        <w:pStyle w:val="ListBullet"/>
        <w:spacing w:after="60"/>
      </w:pPr>
      <w:r>
        <w:rPr>
          <w:sz w:val="22"/>
        </w:rPr>
        <w:t>Audit trail: Ingest, Extract, Cross-check, Match clauses, Decide, Draft, plus the clause ids used.</w:t>
      </w:r>
    </w:p>
    <w:p>
      <w:pPr>
        <w:pStyle w:val="Heading1"/>
      </w:pPr>
      <w:r>
        <w:rPr>
          <w:color w:val="0B3A5B"/>
        </w:rPr>
        <w:t>7. Judging alignment</w:t>
      </w:r>
    </w:p>
    <w:p>
      <w:pPr>
        <w:pStyle w:val="ListBullet"/>
        <w:spacing w:after="60"/>
      </w:pPr>
      <w:r>
        <w:rPr>
          <w:sz w:val="22"/>
        </w:rPr>
        <w:t>Technical merit and generative AI, 40 percent. Six-step agent. Document AI for structure. Vertex AI Search for clauses. Gemini for reasoning and drafts. Vertex AI for the decision label. BigQuery for peer anomalies. Pub/Sub starts the pipeline. Cloud Run and Cloud SQL run the product. Generative AI is the decision path.</w:t>
      </w:r>
    </w:p>
    <w:p>
      <w:pPr>
        <w:pStyle w:val="ListBullet"/>
        <w:spacing w:after="60"/>
      </w:pPr>
      <w:r>
        <w:rPr>
          <w:sz w:val="22"/>
        </w:rPr>
        <w:t>Problem alignment and impact, 25 percent. The theme is insurance risk, fraud, and a clearer financial experience. Review time drops from about 45 minutes to under 30 seconds. Customers receive a reason they can act on.</w:t>
      </w:r>
    </w:p>
    <w:p>
      <w:pPr>
        <w:pStyle w:val="ListBullet"/>
        <w:spacing w:after="60"/>
      </w:pPr>
      <w:r>
        <w:rPr>
          <w:sz w:val="22"/>
        </w:rPr>
        <w:t>Innovation, 25 percent. Fraud is detected as a contradiction across documents, tied to a clause, and paired with a customer-ready explanation. The recommendation changes with similar-claim history.</w:t>
      </w:r>
    </w:p>
    <w:p>
      <w:pPr>
        <w:pStyle w:val="ListBullet"/>
        <w:spacing w:after="60"/>
      </w:pPr>
      <w:r>
        <w:rPr>
          <w:sz w:val="22"/>
        </w:rPr>
        <w:t>User experience, 10 percent. One case, one run, evidence on screen. The handler and the customer each get a finished piece of writing.</w:t>
      </w:r>
    </w:p>
    <w:p>
      <w:pPr>
        <w:pStyle w:val="Heading1"/>
      </w:pPr>
      <w:r>
        <w:rPr>
          <w:color w:val="0B3A5B"/>
        </w:rPr>
        <w:t>8. Feasibility and scalability</w:t>
      </w:r>
    </w:p>
    <w:p>
      <w:pPr>
        <w:spacing w:after="160" w:before="0"/>
      </w:pPr>
      <w:r>
        <w:rPr>
          <w:b w:val="0"/>
          <w:sz w:val="22"/>
        </w:rPr>
        <w:t>The prototype needs no live insurer integration. Two seeded packets, eight policy clauses, and a small BigQuery claims table are enough to show the full decision. Feasibility is the deployed Cloud Run app a judge can open.</w:t>
      </w:r>
    </w:p>
    <w:p>
      <w:pPr>
        <w:spacing w:after="160" w:before="0"/>
      </w:pPr>
      <w:r>
        <w:rPr>
          <w:b w:val="0"/>
          <w:sz w:val="22"/>
        </w:rPr>
        <w:t>Scalability: the clause index is replaced with an insurer’s real wording in Vertex AI Search. Cloud SQL moves to AlloyDB on the same schema as volume grows. Pub/Sub absorbs claim intake from a core policy system. The same pipeline fits motor and commercial claims. Every decision remains cited and auditable, which is the requirement for a regulated insurer.</w:t>
      </w:r>
    </w:p>
    <w:p>
      <w:pPr>
        <w:pStyle w:val="Heading1"/>
      </w:pPr>
      <w:r>
        <w:rPr>
          <w:color w:val="0B3A5B"/>
        </w:rPr>
        <w:t>9. Submission fields still to complete</w:t>
      </w:r>
    </w:p>
    <w:p>
      <w:pPr>
        <w:pStyle w:val="ListBullet"/>
        <w:spacing w:after="60"/>
      </w:pPr>
      <w:r>
        <w:rPr>
          <w:sz w:val="22"/>
        </w:rPr>
        <w:t>Team name:</w:t>
      </w:r>
    </w:p>
    <w:p>
      <w:pPr>
        <w:pStyle w:val="ListBullet"/>
        <w:spacing w:after="60"/>
      </w:pPr>
      <w:r>
        <w:rPr>
          <w:sz w:val="22"/>
        </w:rPr>
        <w:t>Members: 2 to 4 working professionals, age 21 or older, based in JAPAC. No students.</w:t>
      </w:r>
    </w:p>
    <w:p>
      <w:pPr>
        <w:pStyle w:val="ListBullet"/>
        <w:spacing w:after="60"/>
      </w:pPr>
      <w:r>
        <w:rPr>
          <w:sz w:val="22"/>
        </w:rPr>
        <w:t>Deployed link: Cloud Run URL, added after deploy.</w:t>
      </w:r>
    </w:p>
    <w:p>
      <w:pPr>
        <w:pStyle w:val="ListBullet"/>
        <w:spacing w:after="60"/>
      </w:pPr>
      <w:r>
        <w:rPr>
          <w:sz w:val="22"/>
        </w:rPr>
        <w:t>Public GitHub repository:</w:t>
      </w:r>
    </w:p>
    <w:p>
      <w:pPr>
        <w:pStyle w:val="ListBullet"/>
        <w:spacing w:after="60"/>
      </w:pPr>
      <w:r>
        <w:rPr>
          <w:sz w:val="22"/>
        </w:rPr>
        <w:t>Demo video: public YouTube, Vimeo, or Google Drive link, under 3 minutes.</w:t>
      </w:r>
    </w:p>
    <w:p>
      <w:pPr>
        <w:pStyle w:val="ListBullet"/>
        <w:spacing w:after="60"/>
      </w:pPr>
      <w:r>
        <w:rPr>
          <w:sz w:val="22"/>
        </w:rPr>
        <w:t>This document exported as the solution deck PDF.</w:t>
      </w:r>
    </w:p>
    <w:p>
      <w:pPr>
        <w:pStyle w:val="Heading1"/>
      </w:pPr>
      <w:r>
        <w:rPr>
          <w:color w:val="0B3A5B"/>
        </w:rPr>
        <w:t>10. Build lock for implementation</w:t>
      </w:r>
    </w:p>
    <w:p>
      <w:pPr>
        <w:spacing w:after="160" w:before="0"/>
      </w:pPr>
      <w:r>
        <w:rPr>
          <w:b w:val="0"/>
          <w:sz w:val="22"/>
        </w:rPr>
        <w:t>Implementation follows this document. The prototype includes both demo cases, the eight clauses, the six visible agent steps, cited findings, both drafts, the BigQuery similar-claims strip, and a Cloud Run deployment. Accounts, a live insurer connection, and a custom-trained fraud model are outside this prototype.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