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B45309"/>
          <w:sz w:val="15"/>
          <w:szCs w:val="15"/>
        </w:rPr>
        <w:t xml:space="preserve">KDV FRAMEWORK · MODELO DE TRABALHO</w:t>
      </w:r>
    </w:p>
    <w:p>
      <w:pPr>
        <w:spacing w:after="40"/>
      </w:pPr>
      <w:r>
        <w:rPr>
          <w:b/>
          <w:bCs/>
          <w:color w:val="1F2937"/>
          <w:sz w:val="34"/>
          <w:szCs w:val="34"/>
        </w:rPr>
        <w:t xml:space="preserve">Registro de evidências</w:t>
      </w:r>
      <w:r>
        <w:rPr>
          <w:color w:val="4B5563"/>
          <w:sz w:val="18"/>
          <w:szCs w:val="18"/>
        </w:rPr>
        <w:t xml:space="preserve">   Conecte cada prática a um responsável, controle, artefato e revisão.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8"/>
        <w:gridCol w:w="2118"/>
        <w:gridCol w:w="2985"/>
        <w:gridCol w:w="2985"/>
      </w:tblGrid>
      <w:t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Etapa: </w:t>
            </w:r>
            <w:r>
              <w:rPr>
                <w:sz w:val="15"/>
                <w:szCs w:val="15"/>
              </w:rPr>
              <w:t xml:space="preserve">Todas as etapas</w:t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Camada: </w:t>
            </w:r>
            <w:r>
              <w:rPr>
                <w:sz w:val="15"/>
                <w:szCs w:val="15"/>
              </w:rPr>
              <w:t xml:space="preserve">05 Evidências e melhoria</w:t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Quem preenche: </w:t>
            </w:r>
            <w:r>
              <w:rPr>
                <w:sz w:val="15"/>
                <w:szCs w:val="15"/>
              </w:rPr>
              <w:t xml:space="preserve">Gestor do ecossistema ou steward coordenador</w:t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Quando: </w:t>
            </w:r>
            <w:r>
              <w:rPr>
                <w:sz w:val="15"/>
                <w:szCs w:val="15"/>
              </w:rPr>
              <w:t xml:space="preserve">A cada publicação e nas revisões semanal e mensal</w:t>
            </w:r>
          </w:p>
        </w:tc>
      </w:tr>
      <w:tr>
        <w:trPr>
          <w:trHeight w:val="34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Documento / ID: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Versão: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Preenchido por (papel):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Data · Status: </w:t>
            </w:r>
            <w:r>
              <w:rPr>
                <w:sz w:val="15"/>
                <w:szCs w:val="15"/>
              </w:rPr>
              <w:t xml:space="preserve">☐ Rascunho ☐ Em revisão ☐ Aprovado</w:t>
            </w:r>
          </w:p>
        </w:tc>
      </w:tr>
    </w:tbl>
    <w:p>
      <w:pPr>
        <w:spacing w:after="60" w:before="40"/>
      </w:pPr>
      <w:r>
        <w:rPr>
          <w:i/>
          <w:iCs/>
          <w:color w:val="6B7280"/>
          <w:sz w:val="14"/>
          <w:szCs w:val="14"/>
        </w:rPr>
        <w:t xml:space="preserve">Preencha as áreas em amarelo-claro; campos já preenchidos são sugestões do framework. Relacionados: Registro de decisão de governança; Contrato de produto de dados. Modelo de trabalho KDV, não formulário oficial DAMA/DCAM.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1. Prática / política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A prática ou regra que está sendo evidenciada. Exemplo: "todo produto compartilhado tem contrato versionado".</w:t>
            </w:r>
          </w:p>
        </w:tc>
      </w:tr>
      <w:tr>
        <w:trPr>
          <w:trHeight w:val="420" w:hRule="atLeast"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</w:trPr>
        <w:tc>
          <w:tcPr>
            <w:tcW w:type="dxa" w:w="10206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2. Escopo e responsável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Onde a prática vale e quem responde por ela.</w:t>
            </w:r>
          </w:p>
        </w:tc>
      </w:tr>
      <w:tr>
        <w:trPr>
          <w:tblHeader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Escopo (ecossistema, domínio, subdomínio, produto, ambiente)</w:t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Responsável (nome e papel)</w:t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3. Controle implementado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Como a regra é aplicada: manual (revisão, checklist) ou automática (política, teste). Automatize depois de entender a regra, o escopo, as falhas e o responsável.</w:t>
            </w:r>
          </w:p>
        </w:tc>
      </w:tr>
      <w:tr>
        <w:trPr>
          <w:trHeight w:val="540" w:hRule="atLeast"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4. Referência da evidência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O artefato que prova a execução: contrato, resultado de teste, decisão, registro de acesso.</w:t>
            </w:r>
          </w:p>
        </w:tc>
      </w:tr>
      <w:tr>
        <w:trPr>
          <w:tblHeader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Artefato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Localização / link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Data</w:t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5. Data da observação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Quando a evidência foi verificada.</w:t>
            </w:r>
          </w:p>
        </w:tc>
      </w:tr>
      <w:tr>
        <w:trPr>
          <w:trHeight w:val="300" w:hRule="atLeast"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8"/>
        <w:gridCol w:w="3641"/>
        <w:gridCol w:w="1271"/>
        <w:gridCol w:w="1588"/>
        <w:gridCol w:w="1588"/>
      </w:tblGrid>
      <w:tr>
        <w:trPr>
          <w:cantSplit/>
        </w:trPr>
        <w:tc>
          <w:tcPr>
            <w:tcW w:type="dxa" w:w="10206"/>
            <w:gridSpan w:val="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6. Indicador e meta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Defina população, período, significado e responsável por cada indicador. Estas medidas não produzem nota DCAM.</w:t>
            </w:r>
          </w:p>
        </w:tc>
      </w:tr>
      <w:tr>
        <w:trPr>
          <w:tblHeader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Indicador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Como calcular</w:t>
            </w:r>
          </w:p>
        </w:tc>
        <w:tc>
          <w:tcPr>
            <w:tcW w:type="dxa" w:w="12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Meta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Valor observado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Período / amostra</w:t>
            </w:r>
          </w:p>
        </w:tc>
      </w:tr>
      <w:tr>
        <w:trPr>
          <w:trHeight w:val="30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Cobertura de responsáveis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Produtos com dono identificado ÷ produtos no escopo</w:t>
            </w:r>
          </w:p>
        </w:tc>
        <w:tc>
          <w:tcPr>
            <w:tcW w:type="dxa" w:w="12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Cobertura de contratos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Produtos compartilhados com contrato vigente ÷ produtos compartilhados</w:t>
            </w:r>
          </w:p>
        </w:tc>
        <w:tc>
          <w:tcPr>
            <w:tcW w:type="dxa" w:w="12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Aderência à qualidade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aprovados ÷ testes avaliados</w:t>
            </w:r>
          </w:p>
        </w:tc>
        <w:tc>
          <w:tcPr>
            <w:tcW w:type="dxa" w:w="12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Prazo de acesso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Tempo entre pedido completo e acesso implementado</w:t>
            </w:r>
          </w:p>
        </w:tc>
        <w:tc>
          <w:tcPr>
            <w:tcW w:type="dxa" w:w="12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  <w:tc>
          <w:tcPr>
            <w:tcW w:type="dxa" w:w="36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Resultado do caso de uso acordado com o consumidor</w:t>
            </w:r>
          </w:p>
        </w:tc>
        <w:tc>
          <w:tcPr>
            <w:tcW w:type="dxa" w:w="12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7. Exceção / ação corretiva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Desvios encontrados e o que será feito.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Desvio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Ação corretiva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Responsável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Prazo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</w:trPr>
        <w:tc>
          <w:tcPr>
            <w:tcW w:type="dxa" w:w="10206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8. Próxima revisão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Data e responsável pela próxima verificação.</w:t>
            </w:r>
          </w:p>
        </w:tc>
      </w:tr>
      <w:tr>
        <w:trPr>
          <w:tblHeader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Data</w:t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Responsável</w:t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before="60"/>
      </w:pPr>
      <w:r>
        <w:rPr>
          <w:color w:val="9CA3AF"/>
          <w:sz w:val="13"/>
          <w:szCs w:val="13"/>
        </w:rPr>
        <w:t xml:space="preserve">Adaptado de "Registo de evidências" (evidence-register.md), KDV Framework / Community edition 0.1. © 2026 Lab of Codes &amp; Kolmeia, CC BY 4.0 (https://creativecommons.org/licenses/by/4.0/) — github.com/kolmeia-dataecosystems/kdv-framework. Alterações: DOCX, português do Brasil, orientações, tabelas e identificação.</w:t>
      </w:r>
    </w:p>
    <w:sectPr>
      <w:footerReference w:type="default" r:id="rId6"/>
      <w:pgSz w:w="11906" w:h="16838" w:orient="portrait"/>
      <w:pgMar w:top="720" w:right="850" w:bottom="720" w:left="85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3"/>
        <w:szCs w:val="13"/>
      </w:rPr>
      <w:t xml:space="preserve">KDV Framework · Registro de evidências · CC BY 4.0 · p. </w:t>
    </w:r>
    <w:r>
      <w:rPr>
        <w:color w:val="9CA3AF"/>
        <w:sz w:val="13"/>
        <w:szCs w:val="13"/>
      </w:rPr>
      <w:fldChar w:fldCharType="begin"/>
    </w:r>
    <w:r>
      <w:rPr>
        <w:color w:val="9CA3AF"/>
        <w:sz w:val="13"/>
        <w:szCs w:val="13"/>
      </w:rPr>
      <w:instrText xml:space="preserve">PAGE</w:instrText>
    </w:r>
    <w:r>
      <w:rPr>
        <w:color w:val="9CA3AF"/>
        <w:sz w:val="13"/>
        <w:szCs w:val="13"/>
      </w:rPr>
      <w:fldChar w:fldCharType="separate"/>
    </w:r>
    <w:r>
      <w:rPr>
        <w:color w:val="9CA3AF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7"/>
        <w:szCs w:val="17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evidências</dc:title>
  <dc:creator>KDV Framework — modelos de trabalho</dc:creator>
  <cp:lastModifiedBy>Un-named</cp:lastModifiedBy>
  <cp:revision>1</cp:revision>
  <dcterms:created xsi:type="dcterms:W3CDTF">2026-10-20T18:35:54.393Z</dcterms:created>
  <dcterms:modified xsi:type="dcterms:W3CDTF">2026-10-20T18:35:54.393Z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