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B45309"/>
          <w:sz w:val="15"/>
          <w:szCs w:val="15"/>
        </w:rPr>
        <w:t xml:space="preserve">KDV FRAMEWORK · MODELO DE TRABALHO</w:t>
      </w:r>
    </w:p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Carta do domínio</w:t>
      </w:r>
      <w:r>
        <w:rPr>
          <w:color w:val="4B5563"/>
          <w:sz w:val="18"/>
          <w:szCs w:val="18"/>
        </w:rPr>
        <w:t xml:space="preserve">   Propósito, limites, donos, vocabulário compartilhado e direitos de decisão.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2118"/>
        <w:gridCol w:w="2985"/>
        <w:gridCol w:w="2985"/>
      </w:tblGrid>
      <w:t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Etapa: </w:t>
            </w:r>
            <w:r>
              <w:rPr>
                <w:sz w:val="15"/>
                <w:szCs w:val="15"/>
              </w:rPr>
              <w:t xml:space="preserve">Início (antes de Cultivar) e Governar</w:t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Camada: </w:t>
            </w:r>
            <w:r>
              <w:rPr>
                <w:sz w:val="15"/>
                <w:szCs w:val="15"/>
              </w:rPr>
              <w:t xml:space="preserve">02 Organização e papéis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Quem preenche: </w:t>
            </w:r>
            <w:r>
              <w:rPr>
                <w:sz w:val="15"/>
                <w:szCs w:val="15"/>
              </w:rPr>
              <w:t xml:space="preserve">Dono do domínio, com o steward coordenador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Quando: </w:t>
            </w:r>
            <w:r>
              <w:rPr>
                <w:sz w:val="15"/>
                <w:szCs w:val="15"/>
              </w:rPr>
              <w:t xml:space="preserve">Ao criar um domínio (área de negócio) e em cada revisão periódica</w:t>
            </w:r>
          </w:p>
        </w:tc>
      </w:tr>
      <w:tr>
        <w:trPr>
          <w:trHeight w:val="34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Documento / ID: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Versão: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Preenchido por (papel):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Data · Status: </w:t>
            </w:r>
            <w:r>
              <w:rPr>
                <w:sz w:val="15"/>
                <w:szCs w:val="15"/>
              </w:rPr>
              <w:t xml:space="preserve">☐ Rascunho ☐ Em revisão ☐ Aprovado</w:t>
            </w:r>
          </w:p>
        </w:tc>
      </w:tr>
    </w:tbl>
    <w:p>
      <w:pPr>
        <w:spacing w:after="60" w:before="40"/>
      </w:pPr>
      <w:r>
        <w:rPr>
          <w:i/>
          <w:iCs/>
          <w:color w:val="6B7280"/>
          <w:sz w:val="14"/>
          <w:szCs w:val="14"/>
        </w:rPr>
        <w:t xml:space="preserve">Preencha as áreas em amarelo-claro; campos já preenchidos são sugestões do framework. Relacionados: Contrato de produto de dados; Registro de decisão de governança. Modelo de trabalho KDV, não formulário oficial DAMA/DCAM.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1. Nome do domínio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Nome da área de negócio como a organização a chama (no KDV: Hive). Exemplo: "Registro profissional".</w:t>
            </w:r>
          </w:p>
        </w:tc>
      </w:tr>
      <w:tr>
        <w:trPr>
          <w:trHeight w:val="300" w:hRule="atLeast"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2. Propósito e valor pretendido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Que decisões ou serviços este domínio apoia e que valor se espera observar. Comece por um caso de uso e um patrocinador identificado.</w:t>
            </w:r>
          </w:p>
        </w:tc>
      </w:tr>
      <w:tr>
        <w:trPr>
          <w:trHeight w:val="720" w:hRule="atLeast"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3. Escopo: incluído / excluído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Processos, dados e sistemas que pertencem ao domínio e o que fica explicitamente de fora, para evitar sobreposição com outros domínios.</w:t>
            </w:r>
          </w:p>
        </w:tc>
      </w:tr>
      <w:tr>
        <w:trPr>
          <w:tblHeader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Incluído</w:t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Excluído</w:t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4. Dono do domínio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Responde pelo domínio e pelas decisões de aprovação escaladas. Uma pessoa pode acumular papéis: registre o papel exercido em cada decisão.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Nome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Cargo / área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Contato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Desde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5. Steward coordenador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Coordena o stewardship do domínio e resolve questões entre subdomínios.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Nome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Cargo / área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Contato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Desde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cantSplit/>
        </w:trPr>
        <w:tc>
          <w:tcPr>
            <w:tcW w:type="dxa" w:w="10206"/>
            <w:gridSpan w:val="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6. Subdomínios (Cells) e respectivos donos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Uma Cell pode ter vários produtos; a Cell não é o produto. Sem dono de subdomínio, a responsabilidade é herdada pelo dono do domínio. O agrupamento (Comb) é opcional.</w:t>
            </w:r>
          </w:p>
        </w:tc>
      </w:tr>
      <w:tr>
        <w:trPr>
          <w:tblHeader/>
        </w:trP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Subárea (Cell)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Dono do subdomínio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Steward operacional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Engenharia de dados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Agrupamento (Comb)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Produtos de dados</w:t>
            </w:r>
          </w:p>
        </w:tc>
      </w:tr>
      <w:tr>
        <w:trPr>
          <w:trHeight w:val="300" w:hRule="atLeast"/>
        </w:trP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6"/>
        <w:gridCol w:w="4488"/>
        <w:gridCol w:w="2118"/>
        <w:gridCol w:w="1694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7. Vocabulário compartilhado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Termos de negócio definidos pelo domínio, com a definição acordada e quem a mantém (normalmente o steward).</w:t>
            </w:r>
          </w:p>
        </w:tc>
      </w:tr>
      <w:tr>
        <w:trPr>
          <w:tblHeader/>
        </w:trPr>
        <w:tc>
          <w:tcPr>
            <w:tcW w:type="dxa" w:w="1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Termo</w:t>
            </w:r>
          </w:p>
        </w:tc>
        <w:tc>
          <w:tcPr>
            <w:tcW w:type="dxa" w:w="4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Definição acordada</w:t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Sinônimos / termos a evitar</w:t>
            </w:r>
          </w:p>
        </w:tc>
        <w:tc>
          <w:tcPr>
            <w:tcW w:type="dxa" w:w="16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Responsável</w:t>
            </w:r>
          </w:p>
        </w:tc>
      </w:tr>
      <w:tr>
        <w:trPr>
          <w:trHeight w:val="300" w:hRule="atLeast"/>
        </w:trPr>
        <w:tc>
          <w:tcPr>
            <w:tcW w:type="dxa" w:w="1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1"/>
        <w:gridCol w:w="2378"/>
        <w:gridCol w:w="2378"/>
        <w:gridCol w:w="2379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8. Direitos de decisão e escalonamento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Quem decide cada tipo de decisão, quem é consultado e para quem a decisão sobe quando não há acordo.</w:t>
            </w:r>
          </w:p>
        </w:tc>
      </w:tr>
      <w:tr>
        <w:trPr>
          <w:tblHeader/>
        </w:trPr>
        <w:tc>
          <w:tcPr>
            <w:tcW w:type="dxa" w:w="30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Tipo de decisão</w:t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Quem decide (papel)</w:t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Quem é consultado</w:t>
            </w:r>
          </w:p>
        </w:tc>
        <w:tc>
          <w:tcPr>
            <w:tcW w:type="dxa" w:w="23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Escala para</w:t>
            </w:r>
          </w:p>
        </w:tc>
      </w:tr>
      <w:tr>
        <w:trPr>
          <w:trHeight w:val="300" w:hRule="atLeast"/>
        </w:trPr>
        <w:tc>
          <w:tcPr>
            <w:tcW w:type="dxa" w:w="30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Aprovar contrato de produto</w:t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0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Conceder acesso a produto</w:t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0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Aprovar exceção ao baseline</w:t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0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Alterar definição do vocabulário</w:t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0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Retirar um produto de dados</w:t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4911"/>
        <w:gridCol w:w="3177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9. Cadência de revisão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Ritmo sugerido pelo framework como ponto de partida; ajuste ao contexto do domínio.</w:t>
            </w:r>
          </w:p>
        </w:tc>
      </w:tr>
      <w:tr>
        <w:trPr>
          <w:tblHeader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Revisão</w:t>
            </w:r>
          </w:p>
        </w:tc>
        <w:tc>
          <w:tcPr>
            <w:tcW w:type="dxa" w:w="49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O que se revê</w:t>
            </w:r>
          </w:p>
        </w:tc>
        <w:tc>
          <w:tcPr>
            <w:tcW w:type="dxa" w:w="31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Participantes</w:t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 cada publicação</w:t>
            </w:r>
          </w:p>
        </w:tc>
        <w:tc>
          <w:tcPr>
            <w:tcW w:type="dxa" w:w="49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Contrato, responsáveis, qualidade e termos de acesso</w:t>
            </w:r>
          </w:p>
        </w:tc>
        <w:tc>
          <w:tcPr>
            <w:tcW w:type="dxa" w:w="31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Semanal</w:t>
            </w:r>
          </w:p>
        </w:tc>
        <w:tc>
          <w:tcPr>
            <w:tcW w:type="dxa" w:w="49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Problemas, pedidos de acesso e alterações de contrato</w:t>
            </w:r>
          </w:p>
        </w:tc>
        <w:tc>
          <w:tcPr>
            <w:tcW w:type="dxa" w:w="31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Mensal</w:t>
            </w:r>
          </w:p>
        </w:tc>
        <w:tc>
          <w:tcPr>
            <w:tcW w:type="dxa" w:w="49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Resultados, exceções e melhorias de política (fórum de governança)</w:t>
            </w:r>
          </w:p>
        </w:tc>
        <w:tc>
          <w:tcPr>
            <w:tcW w:type="dxa" w:w="31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before="60"/>
      </w:pPr>
      <w:r>
        <w:rPr>
          <w:color w:val="9CA3AF"/>
          <w:sz w:val="13"/>
          <w:szCs w:val="13"/>
        </w:rPr>
        <w:t xml:space="preserve">Adaptado de "Carta do domínio" (domain-charter.md), KDV Framework / Community edition 0.1. © 2026 Lab of Codes &amp; Kolmeia, CC BY 4.0 (https://creativecommons.org/licenses/by/4.0/) — github.com/kolmeia-dataecosystems/kdv-framework. Alterações: DOCX, português do Brasil, orientações, tabelas e identificação.</w:t>
      </w:r>
    </w:p>
    <w:sectPr>
      <w:footerReference w:type="default" r:id="rId6"/>
      <w:pgSz w:w="11906" w:h="16838" w:orient="portrait"/>
      <w:pgMar w:top="720" w:right="850" w:bottom="720" w:left="85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3"/>
        <w:szCs w:val="13"/>
      </w:rPr>
      <w:t xml:space="preserve">KDV Framework · Carta do domínio · CC BY 4.0 · p. </w:t>
    </w:r>
    <w:r>
      <w:rPr>
        <w:color w:val="9CA3AF"/>
        <w:sz w:val="13"/>
        <w:szCs w:val="13"/>
      </w:rPr>
      <w:fldChar w:fldCharType="begin"/>
    </w:r>
    <w:r>
      <w:rPr>
        <w:color w:val="9CA3AF"/>
        <w:sz w:val="13"/>
        <w:szCs w:val="13"/>
      </w:rPr>
      <w:instrText xml:space="preserve">PAGE</w:instrText>
    </w:r>
    <w:r>
      <w:rPr>
        <w:color w:val="9CA3AF"/>
        <w:sz w:val="13"/>
        <w:szCs w:val="13"/>
      </w:rPr>
      <w:fldChar w:fldCharType="separate"/>
    </w:r>
    <w:r>
      <w:rPr>
        <w:color w:val="9CA3AF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7"/>
        <w:szCs w:val="17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do domínio</dc:title>
  <dc:creator>KDV Framework — modelos de trabalho</dc:creator>
  <cp:lastModifiedBy>Un-named</cp:lastModifiedBy>
  <cp:revision>1</cp:revision>
  <dcterms:created xsi:type="dcterms:W3CDTF">2026-10-20T18:35:54.125Z</dcterms:created>
  <dcterms:modified xsi:type="dcterms:W3CDTF">2026-10-20T18:35:54.137Z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