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45309"/>
          <w:sz w:val="15"/>
          <w:szCs w:val="15"/>
        </w:rPr>
        <w:t xml:space="preserve">KDV FRAMEWORK · MODELO DE TRABALHO</w:t>
      </w:r>
    </w:p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Contrato de produto de dados</w:t>
      </w:r>
      <w:r>
        <w:rPr>
          <w:color w:val="4B5563"/>
          <w:sz w:val="18"/>
          <w:szCs w:val="18"/>
        </w:rPr>
        <w:t xml:space="preserve">   Acordo de trabalho sobre escopo, qualidade, acesso, versões e uso.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2118"/>
        <w:gridCol w:w="2985"/>
        <w:gridCol w:w="2985"/>
      </w:tblGrid>
      <w:t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Etapa: </w:t>
            </w:r>
            <w:r>
              <w:rPr>
                <w:sz w:val="15"/>
                <w:szCs w:val="15"/>
              </w:rPr>
              <w:t xml:space="preserve">Governar → Compartilhar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Camada: </w:t>
            </w:r>
            <w:r>
              <w:rPr>
                <w:sz w:val="15"/>
                <w:szCs w:val="15"/>
              </w:rPr>
              <w:t xml:space="preserve">04 Controles e meios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Quem preenche: </w:t>
            </w:r>
            <w:r>
              <w:rPr>
                <w:sz w:val="15"/>
                <w:szCs w:val="15"/>
              </w:rPr>
              <w:t xml:space="preserve">Dono do produto, com o steward; aprovação do dono do subdomínio ou do domínio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Quando: </w:t>
            </w:r>
            <w:r>
              <w:rPr>
                <w:sz w:val="15"/>
                <w:szCs w:val="15"/>
              </w:rPr>
              <w:t xml:space="preserve">Antes da primeira publicação e a cada nova versão do produto</w:t>
            </w:r>
          </w:p>
        </w:tc>
      </w:tr>
      <w:tr>
        <w:trPr>
          <w:trHeight w:val="34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Documento / ID: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Versão: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Preenchido por (papel):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Data · Status: </w:t>
            </w:r>
            <w:r>
              <w:rPr>
                <w:sz w:val="15"/>
                <w:szCs w:val="15"/>
              </w:rPr>
              <w:t xml:space="preserve">☐ Rascunho ☐ Em revisão ☐ Aprovado</w:t>
            </w:r>
          </w:p>
        </w:tc>
      </w:tr>
    </w:tbl>
    <w:p>
      <w:pPr>
        <w:spacing w:after="60" w:before="40"/>
      </w:pPr>
      <w:r>
        <w:rPr>
          <w:i/>
          <w:iCs/>
          <w:color w:val="6B7280"/>
          <w:sz w:val="14"/>
          <w:szCs w:val="14"/>
        </w:rPr>
        <w:t xml:space="preserve">Preencha as áreas em amarelo-claro; campos já preenchidos são sugestões do framework. Relacionados: Carta do domínio; Lista de revisão de acesso; Registro de evidências. Modelo de trabalho KDV, não formulário oficial DAMA/DCAM.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1. Nome e versão do produto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Pode adotar versionamento semântico, mas a equipe deve definir o efeito de cada tipo de alteração para os consumidores.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 do produto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Versão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Identificador (se houver)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 desta versão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2. Domínio / subdomínio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Onde o produto nasce (responsabilidade de negócio) e onde ele roda (ambiente de execução).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Domínio (Hive)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Subdomínio (Cell)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Agrupamento (Comb)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Ambiente (Farm)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5"/>
        <w:gridCol w:w="4024"/>
        <w:gridCol w:w="3217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3. Dono do produto e steward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Responsáveis nomeados. O dono do produto responde por propósito, contrato, versões, publicação e relação com consumidores.</w:t>
            </w:r>
          </w:p>
        </w:tc>
      </w:tr>
      <w:tr>
        <w:trPr>
          <w:tblHeader/>
        </w:trPr>
        <w:tc>
          <w:tcPr>
            <w:tcW w:type="dxa" w:w="2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Papel</w:t>
            </w:r>
          </w:p>
        </w:tc>
        <w:tc>
          <w:tcPr>
            <w:tcW w:type="dxa" w:w="4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</w:t>
            </w:r>
          </w:p>
        </w:tc>
        <w:tc>
          <w:tcPr>
            <w:tcW w:type="dxa" w:w="3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Contato</w:t>
            </w:r>
          </w:p>
        </w:tc>
      </w:tr>
      <w:tr>
        <w:trPr>
          <w:trHeight w:val="300" w:hRule="atLeast"/>
        </w:trPr>
        <w:tc>
          <w:tcPr>
            <w:tcW w:type="dxa" w:w="2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Dono do produto</w:t>
            </w:r>
          </w:p>
        </w:tc>
        <w:tc>
          <w:tcPr>
            <w:tcW w:type="dxa" w:w="4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Steward</w:t>
            </w:r>
          </w:p>
        </w:tc>
        <w:tc>
          <w:tcPr>
            <w:tcW w:type="dxa" w:w="4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Custodiante técnico</w:t>
            </w:r>
          </w:p>
        </w:tc>
        <w:tc>
          <w:tcPr>
            <w:tcW w:type="dxa" w:w="4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9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Contato para incidentes</w:t>
            </w:r>
          </w:p>
        </w:tc>
        <w:tc>
          <w:tcPr>
            <w:tcW w:type="dxa" w:w="4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2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4. Propósito e consumidores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 decisão que o produto apoia e quem o usa. Consumidores conhecidos são parte do baseline.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Consumidor previsto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Finalidade de uso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Decisão ou processo que apoia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5. Interfaces de entrega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Tabelas, APIs, painéis ou MCP são interfaces de entrega do mesmo produto.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Interface (tabela, API, painel, MCP…)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Localização / endereço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Atualização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Observações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8"/>
        <w:gridCol w:w="1059"/>
        <w:gridCol w:w="3323"/>
        <w:gridCol w:w="1165"/>
        <w:gridCol w:w="1483"/>
        <w:gridCol w:w="1588"/>
      </w:tblGrid>
      <w:tr>
        <w:trPr>
          <w:cantSplit/>
        </w:trPr>
        <w:tc>
          <w:tcPr>
            <w:tcW w:type="dxa" w:w="10206"/>
            <w:gridSpan w:val="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6. Esquema e definições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Um esquema não estabelece por si só responsabilidade ou autorização. Use as definições do vocabulário do domínio.</w:t>
            </w:r>
          </w:p>
        </w:tc>
      </w:tr>
      <w:tr>
        <w:trPr>
          <w:tblHeader/>
        </w:trPr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Campo</w:t>
            </w:r>
          </w:p>
        </w:tc>
        <w:tc>
          <w:tcPr>
            <w:tcW w:type="dxa" w:w="1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Tipo</w:t>
            </w:r>
          </w:p>
        </w:tc>
        <w:tc>
          <w:tcPr>
            <w:tcW w:type="dxa" w:w="3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Definição</w:t>
            </w:r>
          </w:p>
        </w:tc>
        <w:tc>
          <w:tcPr>
            <w:tcW w:type="dxa" w:w="11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Obrigatório</w:t>
            </w:r>
          </w:p>
        </w:tc>
        <w:tc>
          <w:tcPr>
            <w:tcW w:type="dxa" w:w="14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Classificação</w:t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Exemplo</w:t>
            </w:r>
          </w:p>
        </w:tc>
      </w:tr>
      <w:tr>
        <w:trPr>
          <w:trHeight w:val="300" w:hRule="atLeast"/>
        </w:trPr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6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2041"/>
        <w:gridCol w:w="2041"/>
        <w:gridCol w:w="2041"/>
        <w:gridCol w:w="2042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7. Regras e limites de qualidade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Um resultado de teste em falta é falta de evidência, não aprovação. Indique o contato para incidentes de qualidade.</w:t>
            </w:r>
          </w:p>
        </w:tc>
      </w:tr>
      <w:tr>
        <w:trPr>
          <w:tblHeader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Regra / dimensão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Limite aceito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Como é testada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Frequência</w:t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Ação se falhar</w:t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8. Classificação e uso permitido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Marque a classificação e descreva usos permitidos e proibidos. Se houver dados pessoais, registre a base legal (LGPD) com o encarregado de dados.</w:t>
            </w:r>
          </w:p>
        </w:tc>
      </w:tr>
      <w:t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Público</w:t>
            </w:r>
            <w:r>
              <w:rPr>
                <w:sz w:val="17"/>
                <w:szCs w:val="17"/>
              </w:rPr>
              <w:t xml:space="preserve">     ☐ Interno</w:t>
            </w:r>
            <w:r>
              <w:rPr>
                <w:sz w:val="17"/>
                <w:szCs w:val="17"/>
              </w:rPr>
              <w:t xml:space="preserve">     ☐ Confidencial</w:t>
            </w:r>
            <w:r>
              <w:rPr>
                <w:sz w:val="17"/>
                <w:szCs w:val="17"/>
              </w:rPr>
              <w:t xml:space="preserve">     ☐ Restrito</w:t>
            </w:r>
            <w:r>
              <w:rPr>
                <w:sz w:val="17"/>
                <w:szCs w:val="17"/>
              </w:rPr>
              <w:t xml:space="preserve">     ☐ Contém dados pessoais — base legal: ______________________</w:t>
            </w:r>
          </w:p>
        </w:tc>
      </w:tr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Usos permitidos</w:t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Usos proibidos</w:t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9"/>
        <w:gridCol w:w="6817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9. Acesso, retenção e prazo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Condições de acesso e tempo de guarda. O acesso é concedido por política e com prazo.</w:t>
            </w:r>
          </w:p>
        </w:tc>
      </w:tr>
      <w:tr>
        <w:trPr>
          <w:tblHeader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Item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Definição</w:t>
            </w:r>
          </w:p>
        </w:tc>
      </w:tr>
      <w:tr>
        <w:trPr>
          <w:trHeight w:val="300" w:hRule="atLeast"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Quem pode pedir acesso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Quem aprova (papel)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Prazo padrão da concessão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Retenção dos dados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38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Condições de revogação</w:t>
            </w:r>
          </w:p>
        </w:tc>
        <w:tc>
          <w:tcPr>
            <w:tcW w:type="dxa" w:w="681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10. Origem e linhagem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De onde vêm os dados e o que é feito com eles. A fonte precisa estar autorizada (ponto de decisão do Cultivar).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Fonte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Sistema de origem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Autorização de uso da fonte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Transformação principal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4700"/>
        <w:gridCol w:w="2753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11. Compatibilidade e depreciação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Avise os consumidores antes de uma versão incompatível; preserve aprovações anteriores e um caminho de transição ou retirada.</w:t>
            </w:r>
          </w:p>
        </w:tc>
      </w:tr>
      <w:tr>
        <w:trPr>
          <w:tblHeader/>
        </w:trPr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Tipo de alteração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Como é tratada</w:t>
            </w:r>
          </w:p>
        </w:tc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Aviso prévio aos consumidores</w:t>
            </w:r>
          </w:p>
        </w:tc>
      </w:tr>
      <w:tr>
        <w:trPr>
          <w:trHeight w:val="300" w:hRule="atLeast"/>
        </w:trPr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Incompatível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Acréscimo compatível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Correção documental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Depreciação / retirada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7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12. Aprovação e data de revisão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Registro da revisão e da aprovação desta versão do contrato.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Papel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Decisão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Dono do produto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Steward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Dono do subdomínio / domínio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Próxima revisão do contrato: ____/____/________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before="60"/>
      </w:pPr>
      <w:r>
        <w:rPr>
          <w:color w:val="9CA3AF"/>
          <w:sz w:val="13"/>
          <w:szCs w:val="13"/>
        </w:rPr>
        <w:t xml:space="preserve">Adaptado de "Contrato de produto de dados" (data-product-contract.md), KDV Framework / Community edition 0.1. © 2026 Lab of Codes &amp; Kolmeia, CC BY 4.0 (https://creativecommons.org/licenses/by/4.0/) — github.com/kolmeia-dataecosystems/kdv-framework. Alterações: DOCX, português do Brasil, orientações, tabelas e identificação.</w:t>
      </w:r>
    </w:p>
    <w:sectPr>
      <w:footerReference w:type="default" r:id="rId6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3"/>
        <w:szCs w:val="13"/>
      </w:rPr>
      <w:t xml:space="preserve">KDV Framework · Contrato de produto de dados · CC BY 4.0 · p. </w:t>
    </w:r>
    <w:r>
      <w:rPr>
        <w:color w:val="9CA3AF"/>
        <w:sz w:val="13"/>
        <w:szCs w:val="13"/>
      </w:rPr>
      <w:fldChar w:fldCharType="begin"/>
    </w:r>
    <w:r>
      <w:rPr>
        <w:color w:val="9CA3AF"/>
        <w:sz w:val="13"/>
        <w:szCs w:val="13"/>
      </w:rPr>
      <w:instrText xml:space="preserve">PAGE</w:instrText>
    </w:r>
    <w:r>
      <w:rPr>
        <w:color w:val="9CA3AF"/>
        <w:sz w:val="13"/>
        <w:szCs w:val="13"/>
      </w:rPr>
      <w:fldChar w:fldCharType="separate"/>
    </w:r>
    <w:r>
      <w:rPr>
        <w:color w:val="9CA3AF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7"/>
        <w:szCs w:val="17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produto de dados</dc:title>
  <dc:creator>KDV Framework — modelos de trabalho</dc:creator>
  <cp:lastModifiedBy>Un-named</cp:lastModifiedBy>
  <cp:revision>1</cp:revision>
  <dcterms:created xsi:type="dcterms:W3CDTF">2026-10-20T18:35:54.265Z</dcterms:created>
  <dcterms:modified xsi:type="dcterms:W3CDTF">2026-10-20T18:35:54.265Z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