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b/>
          <w:bCs/>
          <w:color w:val="B45309"/>
          <w:sz w:val="15"/>
          <w:szCs w:val="15"/>
        </w:rPr>
        <w:t xml:space="preserve">KDV FRAMEWORK · MODELO DE TRABALHO</w:t>
      </w:r>
    </w:p>
    <w:p>
      <w:pPr>
        <w:spacing w:after="40"/>
      </w:pPr>
      <w:r>
        <w:rPr>
          <w:b/>
          <w:bCs/>
          <w:color w:val="1F2937"/>
          <w:sz w:val="34"/>
          <w:szCs w:val="34"/>
        </w:rPr>
        <w:t xml:space="preserve">Lista de revisão de acesso</w:t>
      </w:r>
      <w:r>
        <w:rPr>
          <w:color w:val="4B5563"/>
          <w:sz w:val="18"/>
          <w:szCs w:val="18"/>
        </w:rPr>
        <w:t xml:space="preserve">   Finalidade, classificação, aprovação, prazo e evidências.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118"/>
        <w:gridCol w:w="2118"/>
        <w:gridCol w:w="2985"/>
        <w:gridCol w:w="2985"/>
      </w:tblGrid>
      <w:tr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Etapa: </w:t>
            </w:r>
            <w:r>
              <w:rPr>
                <w:sz w:val="15"/>
                <w:szCs w:val="15"/>
              </w:rPr>
              <w:t xml:space="preserve">Compartilhar e Ativar</w:t>
            </w:r>
          </w:p>
        </w:tc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Camada: </w:t>
            </w:r>
            <w:r>
              <w:rPr>
                <w:sz w:val="15"/>
                <w:szCs w:val="15"/>
              </w:rPr>
              <w:t xml:space="preserve">04 Controles e meios</w:t>
            </w:r>
          </w:p>
        </w:tc>
        <w:tc>
          <w:tcPr>
            <w:tcW w:type="dxa" w:w="2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Quem preenche: </w:t>
            </w:r>
            <w:r>
              <w:rPr>
                <w:sz w:val="15"/>
                <w:szCs w:val="15"/>
              </w:rPr>
              <w:t xml:space="preserve">Consumidor (pede), steward (revisa), dono (decide), custodiante técnico (implementa)</w:t>
            </w:r>
          </w:p>
        </w:tc>
        <w:tc>
          <w:tcPr>
            <w:tcW w:type="dxa" w:w="2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Quando: </w:t>
            </w:r>
            <w:r>
              <w:rPr>
                <w:sz w:val="15"/>
                <w:szCs w:val="15"/>
              </w:rPr>
              <w:t xml:space="preserve">A cada pedido de acesso e em cada revisão periódica</w:t>
            </w:r>
          </w:p>
        </w:tc>
      </w:tr>
      <w:tr>
        <w:trPr>
          <w:trHeight w:val="340" w:hRule="atLeast"/>
        </w:trPr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Documento / ID: </w:t>
            </w: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2118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Versão: </w:t>
            </w: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2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Preenchido por (papel): </w:t>
            </w:r>
            <w:r>
              <w:rPr>
                <w:sz w:val="15"/>
                <w:szCs w:val="15"/>
              </w:rPr>
              <w:t xml:space="preserve"/>
            </w:r>
          </w:p>
        </w:tc>
        <w:tc>
          <w:tcPr>
            <w:tcW w:type="dxa" w:w="298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6B7280"/>
                <w:sz w:val="15"/>
                <w:szCs w:val="15"/>
              </w:rPr>
              <w:t xml:space="preserve">Data · Status: </w:t>
            </w:r>
            <w:r>
              <w:rPr>
                <w:sz w:val="15"/>
                <w:szCs w:val="15"/>
              </w:rPr>
              <w:t xml:space="preserve">☐ Rascunho ☐ Em revisão ☐ Aprovado</w:t>
            </w:r>
          </w:p>
        </w:tc>
      </w:tr>
    </w:tbl>
    <w:p>
      <w:pPr>
        <w:spacing w:after="60" w:before="40"/>
      </w:pPr>
      <w:r>
        <w:rPr>
          <w:i/>
          <w:iCs/>
          <w:color w:val="6B7280"/>
          <w:sz w:val="14"/>
          <w:szCs w:val="14"/>
        </w:rPr>
        <w:t xml:space="preserve">Preencha as áreas em amarelo-claro; campos já preenchidos são sugestões do framework. Relacionados: Contrato de produto de dados; Registro de decisão de governança. Modelo de trabalho KDV, não formulário oficial DAMA/DCAM.</w:t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10206"/>
            <w:gridSpan w:val="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1. Produto / versão solicitada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O consumidor pede uma versão específica do produto.</w:t>
            </w:r>
          </w:p>
        </w:tc>
      </w:tr>
      <w:tr>
        <w:tc>
          <w:tcPr>
            <w:tcW w:type="dxa" w:w="10206"/>
            <w:gridSpan w:val="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☐ A versão solicitada está publicada e vigente</w:t>
            </w:r>
          </w:p>
        </w:tc>
      </w:tr>
      <w:tr>
        <w:trPr>
          <w:tblHeader/>
        </w:trP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Produto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Versão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Interface</w:t>
            </w:r>
          </w:p>
        </w:tc>
      </w:tr>
      <w:tr>
        <w:trPr>
          <w:trHeight w:val="300" w:hRule="atLeast"/>
        </w:trP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2551"/>
        <w:gridCol w:w="2551"/>
        <w:gridCol w:w="2553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2. Requerente e propósito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A finalidade declarada orienta toda a revisão.</w:t>
            </w:r>
          </w:p>
        </w:tc>
      </w:tr>
      <w:tr>
        <w:tc>
          <w:tcPr>
            <w:tcW w:type="dxa" w:w="10206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☐ A finalidade está descrita de forma específica</w:t>
            </w:r>
          </w:p>
        </w:tc>
      </w:tr>
      <w:tr>
        <w:trPr>
          <w:tblHeader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Requerente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Área / organização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Finalidade declarada</w:t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Período necessário</w:t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206"/>
      </w:tblGrid>
      <w:tr>
        <w:trPr>
          <w:cantSplit/>
        </w:trPr>
        <w:tc>
          <w:tcPr>
            <w:tcW w:type="dxa" w:w="10206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3. Classificação e restrições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Compare a finalidade pedida com a classificação e o contrato vigente.</w:t>
            </w:r>
          </w:p>
        </w:tc>
      </w:tr>
      <w:tr>
        <w:tc>
          <w:tcPr>
            <w:tcW w:type="dxa" w:w="10206"/>
            <w:gridSpan w:val="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☐ Classificação do produto conferida</w:t>
            </w:r>
            <w:r>
              <w:rPr>
                <w:sz w:val="17"/>
                <w:szCs w:val="17"/>
              </w:rPr>
              <w:t xml:space="preserve">     ☐ Finalidade compatível com os usos permitidos do contrato</w:t>
            </w:r>
            <w:r>
              <w:rPr>
                <w:sz w:val="17"/>
                <w:szCs w:val="17"/>
              </w:rPr>
              <w:t xml:space="preserve">     ☐ Contém dados pessoais — base legal registrada</w:t>
            </w:r>
            <w:r>
              <w:rPr>
                <w:sz w:val="17"/>
                <w:szCs w:val="17"/>
              </w:rPr>
              <w:t xml:space="preserve">     ☐ Restrições aplicáveis (colunas, linhas, mascaramento): ______________________</w:t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2551"/>
        <w:gridCol w:w="2551"/>
        <w:gridCol w:w="2553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4. Revisão pelo steward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O steward prepara a análise; o dono autorizado decide.</w:t>
            </w:r>
          </w:p>
        </w:tc>
      </w:tr>
      <w:tr>
        <w:trPr>
          <w:tblHeader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Steward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Data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Parecer (aprovar / recusar / escalar)</w:t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Observações</w:t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551"/>
        <w:gridCol w:w="2551"/>
        <w:gridCol w:w="2551"/>
        <w:gridCol w:w="2553"/>
      </w:tblGrid>
      <w:tr>
        <w:trPr>
          <w:cantSplit/>
        </w:trPr>
        <w:tc>
          <w:tcPr>
            <w:tcW w:type="dxa" w:w="10206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5. Decisão do dono e justificativa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Aprovação e implementação são atos distintos, ambos com evidência.</w:t>
            </w:r>
          </w:p>
        </w:tc>
      </w:tr>
      <w:tr>
        <w:tc>
          <w:tcPr>
            <w:tcW w:type="dxa" w:w="10206"/>
            <w:gridSpan w:val="4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☐ Aprovado</w:t>
            </w:r>
            <w:r>
              <w:rPr>
                <w:sz w:val="17"/>
                <w:szCs w:val="17"/>
              </w:rPr>
              <w:t xml:space="preserve">     ☐ Recusado</w:t>
            </w:r>
            <w:r>
              <w:rPr>
                <w:sz w:val="17"/>
                <w:szCs w:val="17"/>
              </w:rPr>
              <w:t xml:space="preserve">     ☐ Escalado para: ______________________</w:t>
            </w:r>
          </w:p>
        </w:tc>
      </w:tr>
      <w:tr>
        <w:trPr>
          <w:tblHeader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Dono (nome)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Papel exercido</w:t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Data</w:t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Justificativa</w:t>
            </w:r>
          </w:p>
        </w:tc>
      </w:tr>
      <w:tr>
        <w:trPr>
          <w:trHeight w:val="300" w:hRule="atLeast"/>
        </w:trPr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55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1"/>
        <w:gridCol w:w="2041"/>
        <w:gridCol w:w="2041"/>
        <w:gridCol w:w="2041"/>
        <w:gridCol w:w="2042"/>
      </w:tblGrid>
      <w:tr>
        <w:trPr>
          <w:cantSplit/>
        </w:trPr>
        <w:tc>
          <w:tcPr>
            <w:tcW w:type="dxa" w:w="10206"/>
            <w:gridSpan w:val="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6. Referência da política implementada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O custodiante técnico implementa somente a política autorizada.</w:t>
            </w:r>
          </w:p>
        </w:tc>
      </w:tr>
      <w:tr>
        <w:trPr>
          <w:tblHeader/>
        </w:trPr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Política / regra</w:t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Ferramenta</w:t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Referência</w:t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Implementado por</w:t>
            </w:r>
          </w:p>
        </w:tc>
        <w:tc>
          <w:tcPr>
            <w:tcW w:type="dxa" w:w="2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Data</w:t>
            </w:r>
          </w:p>
        </w:tc>
      </w:tr>
      <w:tr>
        <w:trPr>
          <w:trHeight w:val="300" w:hRule="atLeast"/>
        </w:trPr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02"/>
        <w:gridCol w:w="3402"/>
        <w:gridCol w:w="3402"/>
      </w:tblGrid>
      <w:tr>
        <w:trPr>
          <w:cantSplit/>
        </w:trPr>
        <w:tc>
          <w:tcPr>
            <w:tcW w:type="dxa" w:w="10206"/>
            <w:gridSpan w:val="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7. Verificação e prazo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Confirme que o acesso funciona e está limitado ao que foi aprovado.</w:t>
            </w:r>
          </w:p>
        </w:tc>
      </w:tr>
      <w:tr>
        <w:tc>
          <w:tcPr>
            <w:tcW w:type="dxa" w:w="10206"/>
            <w:gridSpan w:val="3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FFF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sz w:val="17"/>
                <w:szCs w:val="17"/>
              </w:rPr>
              <w:t xml:space="preserve">☐ Acesso testado</w:t>
            </w:r>
            <w:r>
              <w:rPr>
                <w:sz w:val="17"/>
                <w:szCs w:val="17"/>
              </w:rPr>
              <w:t xml:space="preserve">     ☐ O consumidor acessa somente a versão autorizada</w:t>
            </w:r>
          </w:p>
        </w:tc>
      </w:tr>
      <w:tr>
        <w:trPr>
          <w:tblHeader/>
        </w:trP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Início do acesso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Fim do prazo</w:t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Verificado por</w:t>
            </w:r>
          </w:p>
        </w:tc>
      </w:tr>
      <w:tr>
        <w:trPr>
          <w:trHeight w:val="300" w:hRule="atLeast"/>
        </w:trPr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340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tbl>
      <w:tblPr>
        <w:tblW w:type="dxa" w:w="102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41"/>
        <w:gridCol w:w="2041"/>
        <w:gridCol w:w="2041"/>
        <w:gridCol w:w="2041"/>
        <w:gridCol w:w="2042"/>
      </w:tblGrid>
      <w:tr>
        <w:trPr>
          <w:cantSplit/>
        </w:trPr>
        <w:tc>
          <w:tcPr>
            <w:tcW w:type="dxa" w:w="10206"/>
            <w:gridSpan w:val="5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EF9E7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B45309"/>
                <w:sz w:val="19"/>
                <w:szCs w:val="19"/>
              </w:rPr>
              <w:t xml:space="preserve">8. Revisão periódica e revogação</w:t>
            </w:r>
            <w:r>
              <w:rPr>
                <w:i/>
                <w:iCs/>
                <w:color w:val="6B7280"/>
                <w:sz w:val="15"/>
                <w:szCs w:val="15"/>
              </w:rPr>
              <w:t xml:space="preserve">   Revogue o acesso quando a finalidade ou o prazo terminarem. A renovação é um novo pedido ligado ao anterior.</w:t>
            </w:r>
          </w:p>
        </w:tc>
      </w:tr>
      <w:tr>
        <w:trPr>
          <w:tblHeader/>
        </w:trPr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Data da revisão</w:t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Ainda necessário?</w:t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Decisão (renovar / revogar)</w:t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Revogado em</w:t>
            </w:r>
          </w:p>
        </w:tc>
        <w:tc>
          <w:tcPr>
            <w:tcW w:type="dxa" w:w="2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3F4F6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/>
                <w:bCs/>
                <w:color w:val="1F2937"/>
                <w:sz w:val="15"/>
                <w:szCs w:val="15"/>
              </w:rPr>
              <w:t xml:space="preserve">Responsável</w:t>
            </w:r>
          </w:p>
        </w:tc>
      </w:tr>
      <w:tr>
        <w:trPr>
          <w:trHeight w:val="300" w:hRule="atLeast"/>
        </w:trPr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  <w:tr>
        <w:trPr>
          <w:trHeight w:val="300" w:hRule="atLeast"/>
        </w:trPr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1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  <w:tc>
          <w:tcPr>
            <w:tcW w:type="dxa" w:w="2042"/>
            <w:tcBorders>
              <w:top w:val="single" w:color="D1D5DB" w:sz="4"/>
              <w:left w:val="single" w:color="D1D5DB" w:sz="4"/>
              <w:bottom w:val="single" w:color="D1D5DB" w:sz="4"/>
              <w:right w:val="single" w:color="D1D5DB" w:sz="4"/>
            </w:tcBorders>
            <w:shd w:fill="FFFBEB" w:color="auto" w:val="clear"/>
            <w:tcMar>
              <w:top w:type="dxa" w:w="40"/>
              <w:left w:type="dxa" w:w="90"/>
              <w:bottom w:type="dxa" w:w="40"/>
              <w:right w:type="dxa" w:w="90"/>
            </w:tcMar>
          </w:tcPr>
          <w:p>
            <w:pPr>
              <w:spacing w:after="0"/>
            </w:pPr>
            <w:r>
              <w:rPr>
                <w:b w:val="false"/>
                <w:bCs w:val="false"/>
                <w:sz w:val="16"/>
                <w:szCs w:val="16"/>
              </w:rPr>
              <w:t xml:space="preserve"/>
            </w:r>
          </w:p>
        </w:tc>
      </w:tr>
    </w:tbl>
    <w:p>
      <w:pPr>
        <w:spacing w:after="0" w:line="160"/>
      </w:pPr>
      <w:r>
        <w:rPr>
          <w:sz w:val="8"/>
          <w:szCs w:val="8"/>
        </w:rPr>
        <w:t xml:space="preserve"/>
      </w:r>
    </w:p>
    <w:p>
      <w:pPr>
        <w:spacing w:before="60"/>
      </w:pPr>
      <w:r>
        <w:rPr>
          <w:color w:val="9CA3AF"/>
          <w:sz w:val="13"/>
          <w:szCs w:val="13"/>
        </w:rPr>
        <w:t xml:space="preserve">Adaptado de "Lista de revisão de acesso" (access-review.md), KDV Framework / Community edition 0.1. © 2026 Lab of Codes &amp; Kolmeia, CC BY 4.0 (https://creativecommons.org/licenses/by/4.0/) — github.com/kolmeia-dataecosystems/kdv-framework. Alterações: DOCX, português do Brasil, orientações, tabelas e identificação.</w:t>
      </w:r>
    </w:p>
    <w:sectPr>
      <w:footerReference w:type="default" r:id="rId6"/>
      <w:pgSz w:w="11906" w:h="16838" w:orient="portrait"/>
      <w:pgMar w:top="720" w:right="850" w:bottom="720" w:left="850" w:header="360" w:footer="360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color w:val="9CA3AF"/>
        <w:sz w:val="13"/>
        <w:szCs w:val="13"/>
      </w:rPr>
      <w:t xml:space="preserve">KDV Framework · Lista de revisão de acesso · CC BY 4.0 · p. </w:t>
    </w:r>
    <w:r>
      <w:rPr>
        <w:color w:val="9CA3AF"/>
        <w:sz w:val="13"/>
        <w:szCs w:val="13"/>
      </w:rPr>
      <w:fldChar w:fldCharType="begin"/>
    </w:r>
    <w:r>
      <w:rPr>
        <w:color w:val="9CA3AF"/>
        <w:sz w:val="13"/>
        <w:szCs w:val="13"/>
      </w:rPr>
      <w:instrText xml:space="preserve">PAGE</w:instrText>
    </w:r>
    <w:r>
      <w:rPr>
        <w:color w:val="9CA3AF"/>
        <w:sz w:val="13"/>
        <w:szCs w:val="13"/>
      </w:rPr>
      <w:fldChar w:fldCharType="separate"/>
    </w:r>
    <w:r>
      <w:rPr>
        <w:color w:val="9CA3AF"/>
        <w:sz w:val="13"/>
        <w:szCs w:val="13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827"/>
        <w:sz w:val="17"/>
        <w:szCs w:val="17"/>
      </w:rPr>
    </w:rPrDefault>
    <w:pPrDefault>
      <w:pPr>
        <w:spacing w:after="0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footer" Target="footer1.xml"/><Relationship Id="rId7" Type="http://schemas.openxmlformats.org/officeDocument/2006/relationships/theme" Target="theme/theme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Lista de revisão de acesso</dc:title>
  <dc:creator>KDV Framework — modelos de trabalho</dc:creator>
  <cp:lastModifiedBy>Un-named</cp:lastModifiedBy>
  <cp:revision>1</cp:revision>
  <dcterms:created xsi:type="dcterms:W3CDTF">2026-10-20T18:35:54.362Z</dcterms:created>
  <dcterms:modified xsi:type="dcterms:W3CDTF">2026-10-20T18:35:54.362Z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