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B45309"/>
          <w:sz w:val="15"/>
          <w:szCs w:val="15"/>
        </w:rPr>
        <w:t xml:space="preserve">KDV FRAMEWORK · MODELO DE TRABALHO</w:t>
      </w:r>
    </w:p>
    <w:p>
      <w:pPr>
        <w:spacing w:after="40"/>
      </w:pPr>
      <w:r>
        <w:rPr>
          <w:b/>
          <w:bCs/>
          <w:color w:val="1F2937"/>
          <w:sz w:val="34"/>
          <w:szCs w:val="34"/>
        </w:rPr>
        <w:t xml:space="preserve">Registro de decisão de governança</w:t>
      </w:r>
      <w:r>
        <w:rPr>
          <w:color w:val="4B5563"/>
          <w:sz w:val="18"/>
          <w:szCs w:val="18"/>
        </w:rPr>
        <w:t xml:space="preserve">   Contexto, opções, decisão, responsável pela aprovação e data de revisão.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18"/>
        <w:gridCol w:w="2118"/>
        <w:gridCol w:w="2985"/>
        <w:gridCol w:w="2985"/>
      </w:tblGrid>
      <w:tr>
        <w:tc>
          <w:tcPr>
            <w:tcW w:type="dxa" w:w="21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6B7280"/>
                <w:sz w:val="15"/>
                <w:szCs w:val="15"/>
              </w:rPr>
              <w:t xml:space="preserve">Etapa: </w:t>
            </w:r>
            <w:r>
              <w:rPr>
                <w:sz w:val="15"/>
                <w:szCs w:val="15"/>
              </w:rPr>
              <w:t xml:space="preserve">Todas as etapas</w:t>
            </w:r>
          </w:p>
        </w:tc>
        <w:tc>
          <w:tcPr>
            <w:tcW w:type="dxa" w:w="21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6B7280"/>
                <w:sz w:val="15"/>
                <w:szCs w:val="15"/>
              </w:rPr>
              <w:t xml:space="preserve">Camada: </w:t>
            </w:r>
            <w:r>
              <w:rPr>
                <w:sz w:val="15"/>
                <w:szCs w:val="15"/>
              </w:rPr>
              <w:t xml:space="preserve">03 Processos e decisões</w:t>
            </w:r>
          </w:p>
        </w:tc>
        <w:tc>
          <w:tcPr>
            <w:tcW w:type="dxa" w:w="2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6B7280"/>
                <w:sz w:val="15"/>
                <w:szCs w:val="15"/>
              </w:rPr>
              <w:t xml:space="preserve">Quem preenche: </w:t>
            </w:r>
            <w:r>
              <w:rPr>
                <w:sz w:val="15"/>
                <w:szCs w:val="15"/>
              </w:rPr>
              <w:t xml:space="preserve">Quem decide (registrando o papel exercido), com apoio do steward</w:t>
            </w:r>
          </w:p>
        </w:tc>
        <w:tc>
          <w:tcPr>
            <w:tcW w:type="dxa" w:w="2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6B7280"/>
                <w:sz w:val="15"/>
                <w:szCs w:val="15"/>
              </w:rPr>
              <w:t xml:space="preserve">Quando: </w:t>
            </w:r>
            <w:r>
              <w:rPr>
                <w:sz w:val="15"/>
                <w:szCs w:val="15"/>
              </w:rPr>
              <w:t xml:space="preserve">Sempre que houver aprovação, recusa, escalonamento, exceção ou mudança de política</w:t>
            </w:r>
          </w:p>
        </w:tc>
      </w:tr>
      <w:tr>
        <w:trPr>
          <w:trHeight w:val="340" w:hRule="atLeast"/>
        </w:trPr>
        <w:tc>
          <w:tcPr>
            <w:tcW w:type="dxa" w:w="21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6B7280"/>
                <w:sz w:val="15"/>
                <w:szCs w:val="15"/>
              </w:rPr>
              <w:t xml:space="preserve">Documento / ID: </w:t>
            </w: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21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6B7280"/>
                <w:sz w:val="15"/>
                <w:szCs w:val="15"/>
              </w:rPr>
              <w:t xml:space="preserve">Versão: </w:t>
            </w: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2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6B7280"/>
                <w:sz w:val="15"/>
                <w:szCs w:val="15"/>
              </w:rPr>
              <w:t xml:space="preserve">Preenchido por (papel): </w:t>
            </w: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2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6B7280"/>
                <w:sz w:val="15"/>
                <w:szCs w:val="15"/>
              </w:rPr>
              <w:t xml:space="preserve">Data · Status: </w:t>
            </w:r>
            <w:r>
              <w:rPr>
                <w:sz w:val="15"/>
                <w:szCs w:val="15"/>
              </w:rPr>
              <w:t xml:space="preserve">☐ Rascunho ☐ Em revisão ☐ Aprovado</w:t>
            </w:r>
          </w:p>
        </w:tc>
      </w:tr>
    </w:tbl>
    <w:p>
      <w:pPr>
        <w:spacing w:after="60" w:before="40"/>
      </w:pPr>
      <w:r>
        <w:rPr>
          <w:i/>
          <w:iCs/>
          <w:color w:val="6B7280"/>
          <w:sz w:val="14"/>
          <w:szCs w:val="14"/>
        </w:rPr>
        <w:t xml:space="preserve">Preencha as áreas em amarelo-claro; campos já preenchidos são sugestões do framework. Relacionados: Registro de evidências; Lista de revisão de acesso. Modelo de trabalho KDV, não formulário oficial DAMA/DCAM.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51"/>
        <w:gridCol w:w="2551"/>
        <w:gridCol w:w="2551"/>
        <w:gridCol w:w="2553"/>
      </w:tblGrid>
      <w:tr>
        <w:trPr>
          <w:cantSplit/>
        </w:trPr>
        <w:tc>
          <w:tcPr>
            <w:tcW w:type="dxa" w:w="10206"/>
            <w:gridSpan w:val="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1. ID da decisão e data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  Use um identificador único e sequencial (ex.: DEC-2026-001).</w:t>
            </w:r>
          </w:p>
        </w:tc>
      </w:tr>
      <w:tr>
        <w:trPr>
          <w:tblHeader/>
        </w:trPr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ID</w:t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Data</w:t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Etapa da jornada</w:t>
            </w:r>
          </w:p>
        </w:tc>
        <w:tc>
          <w:tcPr>
            <w:tcW w:type="dxa" w:w="25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Status</w:t>
            </w:r>
          </w:p>
        </w:tc>
      </w:tr>
      <w:tr>
        <w:trPr>
          <w:trHeight w:val="300" w:hRule="atLeast"/>
        </w:trPr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2. Contexto e questão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  A situação e a pergunta que exige decisão.</w:t>
            </w:r>
          </w:p>
        </w:tc>
      </w:tr>
      <w:tr>
        <w:trPr>
          <w:trHeight w:val="720" w:hRule="atLeast"/>
        </w:trPr>
        <w:tc>
          <w:tcPr>
            <w:tcW w:type="dxa" w:w="10206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51"/>
        <w:gridCol w:w="2551"/>
        <w:gridCol w:w="2551"/>
        <w:gridCol w:w="2553"/>
      </w:tblGrid>
      <w:tr>
        <w:trPr>
          <w:cantSplit/>
        </w:trPr>
        <w:tc>
          <w:tcPr>
            <w:tcW w:type="dxa" w:w="10206"/>
            <w:gridSpan w:val="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3. Opções consideradas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  Pelo menos duas opções, incluindo "não fazer nada" quando fizer sentido.</w:t>
            </w:r>
          </w:p>
        </w:tc>
      </w:tr>
      <w:tr>
        <w:trPr>
          <w:tblHeader/>
        </w:trPr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Opção</w:t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Prós</w:t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Contras</w:t>
            </w:r>
          </w:p>
        </w:tc>
        <w:tc>
          <w:tcPr>
            <w:tcW w:type="dxa" w:w="25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Risco</w:t>
            </w:r>
          </w:p>
        </w:tc>
      </w:tr>
      <w:tr>
        <w:trPr>
          <w:trHeight w:val="300" w:hRule="atLeast"/>
        </w:trPr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4. Decisão e justificativa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  A recusa e o escalonamento também precisam de justificativa, não apenas de um estado.</w:t>
            </w:r>
          </w:p>
        </w:tc>
      </w:tr>
      <w:tr>
        <w:trPr>
          <w:trHeight w:val="720" w:hRule="atLeast"/>
        </w:trPr>
        <w:tc>
          <w:tcPr>
            <w:tcW w:type="dxa" w:w="10206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10206"/>
            <w:gridSpan w:val="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5. Responsável pela aprovação e escopo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  Quem decidiu e em qual papel e escopo (ecossistema, domínio, subdomínio, produto).</w:t>
            </w:r>
          </w:p>
        </w:tc>
      </w:tr>
      <w:tr>
        <w:trPr>
          <w:tblHeader/>
        </w:trPr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Nome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Papel exercido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Escopo</w:t>
            </w:r>
          </w:p>
        </w:tc>
      </w:tr>
      <w:tr>
        <w:trPr>
          <w:trHeight w:val="300" w:hRule="atLeast"/>
        </w:trPr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10206"/>
            <w:gridSpan w:val="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6. Políticas / produtos afetados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  O que muda por causa desta decisão.</w:t>
            </w:r>
          </w:p>
        </w:tc>
      </w:tr>
      <w:tr>
        <w:trPr>
          <w:tblHeader/>
        </w:trPr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Item afetado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Tipo (política, produto, contrato, acesso)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Efeito</w:t>
            </w:r>
          </w:p>
        </w:tc>
      </w:tr>
      <w:tr>
        <w:trPr>
          <w:trHeight w:val="300" w:hRule="atLeast"/>
        </w:trPr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03"/>
        <w:gridCol w:w="5103"/>
      </w:tblGrid>
      <w:tr>
        <w:trPr>
          <w:cantSplit/>
        </w:trPr>
        <w:tc>
          <w:tcPr>
            <w:tcW w:type="dxa" w:w="10206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7. Evidências e limitações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  Onde está a prova da decisão e o que ela não cobre.</w:t>
            </w:r>
          </w:p>
        </w:tc>
      </w:tr>
      <w:tr>
        <w:trPr>
          <w:tblHeader/>
        </w:trPr>
        <w:tc>
          <w:tcPr>
            <w:tcW w:type="dxa" w:w="51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Evidência (link ou arquivo)</w:t>
            </w:r>
          </w:p>
        </w:tc>
        <w:tc>
          <w:tcPr>
            <w:tcW w:type="dxa" w:w="51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Limitação conhecida</w:t>
            </w:r>
          </w:p>
        </w:tc>
      </w:tr>
      <w:tr>
        <w:trPr>
          <w:trHeight w:val="300" w:hRule="atLeast"/>
        </w:trPr>
        <w:tc>
          <w:tcPr>
            <w:tcW w:type="dxa" w:w="51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51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1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51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1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51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51"/>
        <w:gridCol w:w="2551"/>
        <w:gridCol w:w="2551"/>
        <w:gridCol w:w="2553"/>
      </w:tblGrid>
      <w:tr>
        <w:trPr>
          <w:cantSplit/>
        </w:trPr>
        <w:tc>
          <w:tcPr>
            <w:tcW w:type="dxa" w:w="10206"/>
            <w:gridSpan w:val="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8. Exceções e prazo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  Uma exceção registra a regra afetada, a justificativa, o risco, o controle compensatório e a data de expiração. Não é um atalho permanente ao baseline.</w:t>
            </w:r>
          </w:p>
        </w:tc>
      </w:tr>
      <w:tr>
        <w:trPr>
          <w:tblHeader/>
        </w:trPr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Regra afetada</w:t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Risco</w:t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Controle compensatório</w:t>
            </w:r>
          </w:p>
        </w:tc>
        <w:tc>
          <w:tcPr>
            <w:tcW w:type="dxa" w:w="25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Expira em</w:t>
            </w:r>
          </w:p>
        </w:tc>
      </w:tr>
      <w:tr>
        <w:trPr>
          <w:trHeight w:val="300" w:hRule="atLeast"/>
        </w:trPr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10206"/>
            <w:gridSpan w:val="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9. Próxima revisão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  Quando e por quem a decisão será revista.</w:t>
            </w:r>
          </w:p>
        </w:tc>
      </w:tr>
      <w:tr>
        <w:trPr>
          <w:tblHeader/>
        </w:trPr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Data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Responsável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Critério para rever antes do prazo</w:t>
            </w:r>
          </w:p>
        </w:tc>
      </w:tr>
      <w:tr>
        <w:trPr>
          <w:trHeight w:val="300" w:hRule="atLeast"/>
        </w:trPr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p>
      <w:pPr>
        <w:spacing w:before="60"/>
      </w:pPr>
      <w:r>
        <w:rPr>
          <w:color w:val="9CA3AF"/>
          <w:sz w:val="13"/>
          <w:szCs w:val="13"/>
        </w:rPr>
        <w:t xml:space="preserve">Adaptado de "Registo de decisão de governança" (decision-record.md), KDV Framework / Community edition 0.1. © 2026 Lab of Codes &amp; Kolmeia, CC BY 4.0 (https://creativecommons.org/licenses/by/4.0/) — github.com/kolmeia-dataecosystems/kdv-framework. Alterações: DOCX, português do Brasil, orientações, tabelas e identificação.</w:t>
      </w:r>
    </w:p>
    <w:sectPr>
      <w:footerReference w:type="default" r:id="rId6"/>
      <w:pgSz w:w="11906" w:h="16838" w:orient="portrait"/>
      <w:pgMar w:top="720" w:right="850" w:bottom="720" w:left="850" w:header="360" w:footer="36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CA3AF"/>
        <w:sz w:val="13"/>
        <w:szCs w:val="13"/>
      </w:rPr>
      <w:t xml:space="preserve">KDV Framework · Registro de decisão de governança · CC BY 4.0 · p. </w:t>
    </w:r>
    <w:r>
      <w:rPr>
        <w:color w:val="9CA3AF"/>
        <w:sz w:val="13"/>
        <w:szCs w:val="13"/>
      </w:rPr>
      <w:fldChar w:fldCharType="begin"/>
    </w:r>
    <w:r>
      <w:rPr>
        <w:color w:val="9CA3AF"/>
        <w:sz w:val="13"/>
        <w:szCs w:val="13"/>
      </w:rPr>
      <w:instrText xml:space="preserve">PAGE</w:instrText>
    </w:r>
    <w:r>
      <w:rPr>
        <w:color w:val="9CA3AF"/>
        <w:sz w:val="13"/>
        <w:szCs w:val="13"/>
      </w:rPr>
      <w:fldChar w:fldCharType="separate"/>
    </w:r>
    <w:r>
      <w:rPr>
        <w:color w:val="9CA3AF"/>
        <w:sz w:val="13"/>
        <w:szCs w:val="13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17"/>
        <w:szCs w:val="17"/>
      </w:rPr>
    </w:rPrDefault>
    <w:pPrDefault>
      <w:pPr>
        <w:spacing w:after="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decisão de governança</dc:title>
  <dc:creator>KDV Framework — modelos de trabalho</dc:creator>
  <cp:lastModifiedBy>Un-named</cp:lastModifiedBy>
  <cp:revision>1</cp:revision>
  <dcterms:created xsi:type="dcterms:W3CDTF">2026-10-20T18:35:54.327Z</dcterms:created>
  <dcterms:modified xsi:type="dcterms:W3CDTF">2026-10-20T18:35:54.327Z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