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70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39,5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7F2E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20,45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5,33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,706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0,248</w:t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1,032 - Прочность фланца при изгибе с учетом ослабления отверстиями  (ригель 1)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</w:t>
      </w:r>
      <w:r>
        <w:rPr>
          <w:rFonts w:ascii="Arial" w:hAnsi="Arial" w:cs="Arial"/>
          <w:b/>
          <w:bCs/>
          <w:sz w:val="20"/>
          <w:szCs w:val="20"/>
        </w:rPr>
        <w:t xml:space="preserve"> всему пакету комбинаций 1,032 - Прочность фланца при изгибе с учетом ослабления отверстиями  (ригель 1)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7680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-668,486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:rsidR="00000000" w:rsidRDefault="00A76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-101,859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76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6806" w:rsidRDefault="00A7680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2023.06.02 00:28:52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A7680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B9"/>
    <w:rsid w:val="007F2EB9"/>
    <w:rsid w:val="00A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2194D9-3D34-4397-B5E7-CD8F86A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2023-06-01T21:29:00Z</dcterms:created>
  <dcterms:modified xsi:type="dcterms:W3CDTF">2023-06-01T21:29:00Z</dcterms:modified>
</cp:coreProperties>
</file>