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3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3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3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3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FB34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35,27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0,307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1,132</w:t>
      </w:r>
      <w:r>
        <w:rPr>
          <w:rFonts w:ascii="Arial" w:hAnsi="Arial" w:cs="Arial"/>
          <w:b/>
          <w:bCs/>
          <w:sz w:val="20"/>
          <w:szCs w:val="20"/>
        </w:rPr>
        <w:t xml:space="preserve"> - Несущая способность участка стенки пояса на продавливание (вырывание) в месте примыкания стойки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1,132 - Несущая способность участка стенки пояса на продавливание (вырывание) в месте примыкания ст</w:t>
      </w:r>
      <w:r>
        <w:rPr>
          <w:rFonts w:ascii="Arial" w:hAnsi="Arial" w:cs="Arial"/>
          <w:b/>
          <w:bCs/>
          <w:sz w:val="20"/>
          <w:szCs w:val="20"/>
        </w:rPr>
        <w:t>ойки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653F5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53F5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3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-60,061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:rsidR="00000000" w:rsidRDefault="00653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-3,018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53F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53F5F" w:rsidRDefault="00653F5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2023.05.14 00:55:28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53F5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38"/>
    <w:rsid w:val="00653F5F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8055635-207E-40CA-BD49-82B10384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2023-05-13T21:56:00Z</dcterms:created>
  <dcterms:modified xsi:type="dcterms:W3CDTF">2023-05-13T21:56:00Z</dcterms:modified>
</cp:coreProperties>
</file>