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2A1C5" w14:textId="2A859BA1" w:rsidR="00DE534D" w:rsidRDefault="00DE534D" w:rsidP="00DE534D">
      <w:pPr>
        <w:pStyle w:val="Heading1"/>
      </w:pPr>
      <w:r>
        <w:t xml:space="preserve">EXECUTIVE SUMMARY </w:t>
      </w:r>
    </w:p>
    <w:p w14:paraId="66C37183" w14:textId="77777777" w:rsidR="00DE534D" w:rsidRDefault="00DE534D" w:rsidP="00DE534D">
      <w:pPr>
        <w:pStyle w:val="NormalWeb"/>
      </w:pPr>
      <w:r>
        <w:t>Revenue increased by 52% in March compared to February, driven by higher order volume and higher average order value. However, profit declined by 68% due to severe margin compression. Gross margin dropped from 38.6% to 8.2%. The primary driver was a sharp increase in cost ratio (from 59.9% to 82.3%) combined with higher discounting (1.5% to 9.5%). The margin deterioration occurred consistently across all channels, countries, and devices, indicating a systemic economic issue rather than a marketing mix problem. If February cost structure had remained stable, March profit would have been approximately 23.7k instead of 5.0k — representing nearly 18.7k in lost profit. Immediate investigation into cost drivers and discount policy is recommended.</w:t>
      </w:r>
    </w:p>
    <w:p w14:paraId="72E696E3" w14:textId="77777777" w:rsidR="00DE534D" w:rsidRDefault="00DE534D" w:rsidP="00DE534D">
      <w:r>
        <w:pict w14:anchorId="211F8088">
          <v:rect id="_x0000_i1027" style="width:0;height:1.5pt" o:hralign="center" o:hrstd="t" o:hr="t" fillcolor="#a0a0a0" stroked="f"/>
        </w:pict>
      </w:r>
    </w:p>
    <w:p w14:paraId="13377CAD" w14:textId="77777777" w:rsidR="00DE534D" w:rsidRDefault="00DE534D" w:rsidP="00DE534D">
      <w:pPr>
        <w:pStyle w:val="Heading1"/>
      </w:pPr>
      <w:r>
        <w:t>ONE RECOMMENDED ACTION</w:t>
      </w:r>
    </w:p>
    <w:p w14:paraId="52B6B637" w14:textId="77777777" w:rsidR="00DE534D" w:rsidRDefault="00DE534D" w:rsidP="00DE534D">
      <w:pPr>
        <w:pStyle w:val="NormalWeb"/>
      </w:pPr>
      <w:r>
        <w:t>Investigate and immediately review March cost structure and discount policy changes, with focus on supplier pricing, operational costs, and promotional strategy.</w:t>
      </w:r>
    </w:p>
    <w:p w14:paraId="46792CC1" w14:textId="77777777" w:rsidR="00DE534D" w:rsidRDefault="00DE534D" w:rsidP="00DE534D">
      <w:pPr>
        <w:pStyle w:val="NormalWeb"/>
      </w:pPr>
      <w:r>
        <w:t>Specific next step:</w:t>
      </w:r>
      <w:r>
        <w:br/>
        <w:t>Conduct cost breakdown audit and temporarily pause aggressive discount campaigns until margin stabilizes.</w:t>
      </w:r>
    </w:p>
    <w:p w14:paraId="118AAFA4" w14:textId="77777777" w:rsidR="00803C28" w:rsidRDefault="00803C28"/>
    <w:sectPr w:rsidR="00803C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28"/>
    <w:rsid w:val="00803C28"/>
    <w:rsid w:val="00BC6BDB"/>
    <w:rsid w:val="00C93C57"/>
    <w:rsid w:val="00DE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5182"/>
  <w15:chartTrackingRefBased/>
  <w15:docId w15:val="{E28C473D-1302-4B7B-90D6-9C229AD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6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6B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6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6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Трибушкин</dc:creator>
  <cp:keywords/>
  <dc:description/>
  <cp:lastModifiedBy>Николай Трибушкин</cp:lastModifiedBy>
  <cp:revision>4</cp:revision>
  <dcterms:created xsi:type="dcterms:W3CDTF">2026-02-27T10:21:00Z</dcterms:created>
  <dcterms:modified xsi:type="dcterms:W3CDTF">2026-03-05T14:33:00Z</dcterms:modified>
</cp:coreProperties>
</file>