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ОБРАЗОВАНИЯ И НАУКИ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[Название университета]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[Название факультета/института]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[Название кафедры]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ОТЧЁТ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 прохождении учебной практики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дисциплине:</w:t>
      </w:r>
    </w:p>
    <w:p>
      <w:pPr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«Системы искусственного интеллекта и компьютерного зрения»</w:t>
      </w:r>
    </w:p>
    <w:p/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«Применение искусственных нейронных сетей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для распознавания дорожных знаков»</w:t>
      </w:r>
    </w:p>
    <w:p/>
    <w:p/>
    <w:p/>
    <w:p/>
    <w:p/>
    <w:p>
      <w:pPr>
        <w:ind w:firstLine="0"/>
        <w:jc w:val="right"/>
      </w:pPr>
      <w:r>
        <w:rPr>
          <w:sz w:val="26"/>
        </w:rPr>
        <w:t>Выполнил: студент группы ______</w:t>
        <w:br/>
      </w:r>
      <w:r>
        <w:rPr>
          <w:sz w:val="26"/>
        </w:rPr>
        <w:t>ФИО: ________________________</w:t>
        <w:br/>
      </w:r>
      <w:r>
        <w:rPr>
          <w:sz w:val="26"/>
        </w:rPr>
        <w:br/>
      </w:r>
      <w:r>
        <w:rPr>
          <w:sz w:val="26"/>
        </w:rPr>
        <w:t>Руководитель практики:</w:t>
        <w:br/>
      </w:r>
      <w:r>
        <w:rPr>
          <w:sz w:val="26"/>
        </w:rPr>
        <w:t>Должность: __________________</w:t>
        <w:br/>
      </w:r>
      <w:r>
        <w:rPr>
          <w:sz w:val="26"/>
        </w:rPr>
        <w:t>ФИО: ________________________</w:t>
        <w:br/>
      </w:r>
      <w:r>
        <w:rPr>
          <w:sz w:val="26"/>
        </w:rPr>
        <w:br/>
      </w:r>
      <w:r>
        <w:rPr>
          <w:sz w:val="26"/>
        </w:rPr>
        <w:t>Оценка: _____________________</w:t>
        <w:br/>
      </w:r>
      <w:r>
        <w:rPr>
          <w:sz w:val="26"/>
        </w:rPr>
        <w:t>Подпись руководителя: _______</w:t>
        <w:br/>
      </w:r>
    </w:p>
    <w:p/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Город, 2025 г.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p>
      <w:pPr>
        <w:ind w:firstLine="0"/>
      </w:pPr>
      <w:r>
        <w:rPr>
          <w:sz w:val="26"/>
        </w:rPr>
        <w:t xml:space="preserve">Введение </w:t>
      </w:r>
      <w:r>
        <w:rPr>
          <w:sz w:val="26"/>
        </w:rPr>
        <w:t>................................................................... 3</w:t>
      </w:r>
    </w:p>
    <w:p>
      <w:pPr>
        <w:ind w:firstLine="0"/>
      </w:pPr>
      <w:r>
        <w:rPr>
          <w:sz w:val="26"/>
        </w:rPr>
        <w:t xml:space="preserve">1. Постановка задачи и анализ предметной области </w:t>
      </w:r>
      <w:r>
        <w:rPr>
          <w:sz w:val="26"/>
        </w:rPr>
        <w:t>........................... 5</w:t>
      </w:r>
    </w:p>
    <w:p>
      <w:pPr>
        <w:ind w:firstLine="0"/>
      </w:pPr>
      <w:r>
        <w:rPr>
          <w:sz w:val="26"/>
        </w:rPr>
        <w:t xml:space="preserve">   1.1. Актуальность задачи </w:t>
      </w:r>
      <w:r>
        <w:rPr>
          <w:sz w:val="26"/>
        </w:rPr>
        <w:t>................................................ 5</w:t>
      </w:r>
    </w:p>
    <w:p>
      <w:pPr>
        <w:ind w:firstLine="0"/>
      </w:pPr>
      <w:r>
        <w:rPr>
          <w:sz w:val="26"/>
        </w:rPr>
        <w:t xml:space="preserve">   1.2. Формальная постановка задачи </w:t>
      </w:r>
      <w:r>
        <w:rPr>
          <w:sz w:val="26"/>
        </w:rPr>
        <w:t>....................................... 6</w:t>
      </w:r>
    </w:p>
    <w:p>
      <w:pPr>
        <w:ind w:firstLine="0"/>
      </w:pPr>
      <w:r>
        <w:rPr>
          <w:sz w:val="26"/>
        </w:rPr>
        <w:t xml:space="preserve">   1.3. Анализ существующих решений </w:t>
      </w:r>
      <w:r>
        <w:rPr>
          <w:sz w:val="26"/>
        </w:rPr>
        <w:t>........................................ 7</w:t>
      </w:r>
    </w:p>
    <w:p>
      <w:pPr>
        <w:ind w:firstLine="0"/>
      </w:pPr>
      <w:r>
        <w:rPr>
          <w:sz w:val="26"/>
        </w:rPr>
        <w:t xml:space="preserve">2. Подготовка и анализ данных </w:t>
      </w:r>
      <w:r>
        <w:rPr>
          <w:sz w:val="26"/>
        </w:rPr>
        <w:t>.............................................. 8</w:t>
      </w:r>
    </w:p>
    <w:p>
      <w:pPr>
        <w:ind w:firstLine="0"/>
      </w:pPr>
      <w:r>
        <w:rPr>
          <w:sz w:val="26"/>
        </w:rPr>
        <w:t xml:space="preserve">   2.1. Выбор и описание датасета GTSRB </w:t>
      </w:r>
      <w:r>
        <w:rPr>
          <w:sz w:val="26"/>
        </w:rPr>
        <w:t>.................................... 8</w:t>
      </w:r>
    </w:p>
    <w:p>
      <w:pPr>
        <w:ind w:firstLine="0"/>
      </w:pPr>
      <w:r>
        <w:rPr>
          <w:sz w:val="26"/>
        </w:rPr>
        <w:t xml:space="preserve">   2.2. Разбиение данных и формирование выборок </w:t>
      </w:r>
      <w:r>
        <w:rPr>
          <w:sz w:val="26"/>
        </w:rPr>
        <w:t>............................ 9</w:t>
      </w:r>
    </w:p>
    <w:p>
      <w:pPr>
        <w:ind w:firstLine="0"/>
      </w:pPr>
      <w:r>
        <w:rPr>
          <w:sz w:val="26"/>
        </w:rPr>
        <w:t xml:space="preserve">   2.3. Предобработка и нормализация </w:t>
      </w:r>
      <w:r>
        <w:rPr>
          <w:sz w:val="26"/>
        </w:rPr>
        <w:t>....................................... 10</w:t>
      </w:r>
    </w:p>
    <w:p>
      <w:pPr>
        <w:ind w:firstLine="0"/>
      </w:pPr>
      <w:r>
        <w:rPr>
          <w:sz w:val="26"/>
        </w:rPr>
        <w:t xml:space="preserve">   2.4. Стратегия аугментации </w:t>
      </w:r>
      <w:r>
        <w:rPr>
          <w:sz w:val="26"/>
        </w:rPr>
        <w:t>.............................................. 11</w:t>
      </w:r>
    </w:p>
    <w:p>
      <w:pPr>
        <w:ind w:firstLine="0"/>
      </w:pPr>
      <w:r>
        <w:rPr>
          <w:sz w:val="26"/>
        </w:rPr>
        <w:t xml:space="preserve">3. Архитектуры нейронных сетей </w:t>
      </w:r>
      <w:r>
        <w:rPr>
          <w:sz w:val="26"/>
        </w:rPr>
        <w:t>............................................. 12</w:t>
      </w:r>
    </w:p>
    <w:p>
      <w:pPr>
        <w:ind w:firstLine="0"/>
      </w:pPr>
      <w:r>
        <w:rPr>
          <w:sz w:val="26"/>
        </w:rPr>
        <w:t xml:space="preserve">   3.1. SimpleCNN — базовая модель </w:t>
      </w:r>
      <w:r>
        <w:rPr>
          <w:sz w:val="26"/>
        </w:rPr>
        <w:t>......................................... 12</w:t>
      </w:r>
    </w:p>
    <w:p>
      <w:pPr>
        <w:ind w:firstLine="0"/>
      </w:pPr>
      <w:r>
        <w:rPr>
          <w:sz w:val="26"/>
        </w:rPr>
        <w:t xml:space="preserve">   3.2. ResNet18 </w:t>
      </w:r>
      <w:r>
        <w:rPr>
          <w:sz w:val="26"/>
        </w:rPr>
        <w:t>........................................................... 13</w:t>
      </w:r>
    </w:p>
    <w:p>
      <w:pPr>
        <w:ind w:firstLine="0"/>
      </w:pPr>
      <w:r>
        <w:rPr>
          <w:sz w:val="26"/>
        </w:rPr>
        <w:t xml:space="preserve">   3.3. MobileNetV2 </w:t>
      </w:r>
      <w:r>
        <w:rPr>
          <w:sz w:val="26"/>
        </w:rPr>
        <w:t>........................................................ 14</w:t>
      </w:r>
    </w:p>
    <w:p>
      <w:pPr>
        <w:ind w:firstLine="0"/>
      </w:pPr>
      <w:r>
        <w:rPr>
          <w:sz w:val="26"/>
        </w:rPr>
        <w:t xml:space="preserve">   3.4. EfficientNet-B0 </w:t>
      </w:r>
      <w:r>
        <w:rPr>
          <w:sz w:val="26"/>
        </w:rPr>
        <w:t>.................................................... 15</w:t>
      </w:r>
    </w:p>
    <w:p>
      <w:pPr>
        <w:ind w:firstLine="0"/>
      </w:pPr>
      <w:r>
        <w:rPr>
          <w:sz w:val="26"/>
        </w:rPr>
        <w:t xml:space="preserve">   3.5. VGG11 </w:t>
      </w:r>
      <w:r>
        <w:rPr>
          <w:sz w:val="26"/>
        </w:rPr>
        <w:t>.............................................................. 16</w:t>
      </w:r>
    </w:p>
    <w:p>
      <w:pPr>
        <w:ind w:firstLine="0"/>
      </w:pPr>
      <w:r>
        <w:rPr>
          <w:sz w:val="26"/>
        </w:rPr>
        <w:t xml:space="preserve">4. Методика обучения моделей </w:t>
      </w:r>
      <w:r>
        <w:rPr>
          <w:sz w:val="26"/>
        </w:rPr>
        <w:t>............................................... 17</w:t>
      </w:r>
    </w:p>
    <w:p>
      <w:pPr>
        <w:ind w:firstLine="0"/>
      </w:pPr>
      <w:r>
        <w:rPr>
          <w:sz w:val="26"/>
        </w:rPr>
        <w:t xml:space="preserve">   4.1. Гиперпараметры </w:t>
      </w:r>
      <w:r>
        <w:rPr>
          <w:sz w:val="26"/>
        </w:rPr>
        <w:t>..................................................... 17</w:t>
      </w:r>
    </w:p>
    <w:p>
      <w:pPr>
        <w:ind w:firstLine="0"/>
      </w:pPr>
      <w:r>
        <w:rPr>
          <w:sz w:val="26"/>
        </w:rPr>
        <w:t xml:space="preserve">   4.2. Процесс обучения и динамика </w:t>
      </w:r>
      <w:r>
        <w:rPr>
          <w:sz w:val="26"/>
        </w:rPr>
        <w:t>........................................ 18</w:t>
      </w:r>
    </w:p>
    <w:p>
      <w:pPr>
        <w:ind w:firstLine="0"/>
      </w:pPr>
      <w:r>
        <w:rPr>
          <w:sz w:val="26"/>
        </w:rPr>
        <w:t xml:space="preserve">5. Экспериментальное сравнение моделей </w:t>
      </w:r>
      <w:r>
        <w:rPr>
          <w:sz w:val="26"/>
        </w:rPr>
        <w:t>..................................... 20</w:t>
      </w:r>
    </w:p>
    <w:p>
      <w:pPr>
        <w:ind w:firstLine="0"/>
      </w:pPr>
      <w:r>
        <w:rPr>
          <w:sz w:val="26"/>
        </w:rPr>
        <w:t xml:space="preserve">   5.1. Метрики качества </w:t>
      </w:r>
      <w:r>
        <w:rPr>
          <w:sz w:val="26"/>
        </w:rPr>
        <w:t>................................................... 20</w:t>
      </w:r>
    </w:p>
    <w:p>
      <w:pPr>
        <w:ind w:firstLine="0"/>
      </w:pPr>
      <w:r>
        <w:rPr>
          <w:sz w:val="26"/>
        </w:rPr>
        <w:t xml:space="preserve">   5.2. Сводная таблица результатов </w:t>
      </w:r>
      <w:r>
        <w:rPr>
          <w:sz w:val="26"/>
        </w:rPr>
        <w:t>........................................ 21</w:t>
      </w:r>
    </w:p>
    <w:p>
      <w:pPr>
        <w:ind w:firstLine="0"/>
      </w:pPr>
      <w:r>
        <w:rPr>
          <w:sz w:val="26"/>
        </w:rPr>
        <w:t xml:space="preserve">   5.3. Анализ ошибок и confusion matrix </w:t>
      </w:r>
      <w:r>
        <w:rPr>
          <w:sz w:val="26"/>
        </w:rPr>
        <w:t>................................... 22</w:t>
      </w:r>
    </w:p>
    <w:p>
      <w:pPr>
        <w:ind w:firstLine="0"/>
      </w:pPr>
      <w:r>
        <w:rPr>
          <w:sz w:val="26"/>
        </w:rPr>
        <w:t xml:space="preserve">   5.4. Производительность и размер моделей </w:t>
      </w:r>
      <w:r>
        <w:rPr>
          <w:sz w:val="26"/>
        </w:rPr>
        <w:t>................................ 23</w:t>
      </w:r>
    </w:p>
    <w:p>
      <w:pPr>
        <w:ind w:firstLine="0"/>
      </w:pPr>
      <w:r>
        <w:rPr>
          <w:sz w:val="26"/>
        </w:rPr>
        <w:t xml:space="preserve">   5.5. Выбор лучшей модели и обоснование </w:t>
      </w:r>
      <w:r>
        <w:rPr>
          <w:sz w:val="26"/>
        </w:rPr>
        <w:t>.................................. 24</w:t>
      </w:r>
    </w:p>
    <w:p>
      <w:pPr>
        <w:ind w:firstLine="0"/>
      </w:pPr>
      <w:r>
        <w:rPr>
          <w:sz w:val="26"/>
        </w:rPr>
        <w:t xml:space="preserve">6. Реализация демонстрационного модуля </w:t>
      </w:r>
      <w:r>
        <w:rPr>
          <w:sz w:val="26"/>
        </w:rPr>
        <w:t>..................................... 25</w:t>
      </w:r>
    </w:p>
    <w:p>
      <w:pPr>
        <w:ind w:firstLine="0"/>
      </w:pPr>
      <w:r>
        <w:rPr>
          <w:sz w:val="26"/>
        </w:rPr>
        <w:t xml:space="preserve">   6.1. Архитектура приложения </w:t>
      </w:r>
      <w:r>
        <w:rPr>
          <w:sz w:val="26"/>
        </w:rPr>
        <w:t>............................................. 25</w:t>
      </w:r>
    </w:p>
    <w:p>
      <w:pPr>
        <w:ind w:firstLine="0"/>
      </w:pPr>
      <w:r>
        <w:rPr>
          <w:sz w:val="26"/>
        </w:rPr>
        <w:t xml:space="preserve">   6.2. Технологии и стек </w:t>
      </w:r>
      <w:r>
        <w:rPr>
          <w:sz w:val="26"/>
        </w:rPr>
        <w:t>.................................................. 26</w:t>
      </w:r>
    </w:p>
    <w:p>
      <w:pPr>
        <w:ind w:firstLine="0"/>
      </w:pPr>
      <w:r>
        <w:rPr>
          <w:sz w:val="26"/>
        </w:rPr>
        <w:t xml:space="preserve">   6.3. Функциональные возможности </w:t>
      </w:r>
      <w:r>
        <w:rPr>
          <w:sz w:val="26"/>
        </w:rPr>
        <w:t>......................................... 27</w:t>
      </w:r>
    </w:p>
    <w:p>
      <w:pPr>
        <w:ind w:firstLine="0"/>
      </w:pPr>
      <w:r>
        <w:rPr>
          <w:sz w:val="26"/>
        </w:rPr>
        <w:t xml:space="preserve">7. Контейнеризация в Docker </w:t>
      </w:r>
      <w:r>
        <w:rPr>
          <w:sz w:val="26"/>
        </w:rPr>
        <w:t>................................................ 28</w:t>
      </w:r>
    </w:p>
    <w:p>
      <w:pPr>
        <w:ind w:firstLine="0"/>
      </w:pPr>
      <w:r>
        <w:rPr>
          <w:sz w:val="26"/>
        </w:rPr>
        <w:t xml:space="preserve">8. Выводы и рекомендации </w:t>
      </w:r>
      <w:r>
        <w:rPr>
          <w:sz w:val="26"/>
        </w:rPr>
        <w:t>................................................... 29</w:t>
      </w:r>
    </w:p>
    <w:p>
      <w:pPr>
        <w:ind w:firstLine="0"/>
      </w:pPr>
      <w:r>
        <w:rPr>
          <w:sz w:val="26"/>
        </w:rPr>
        <w:t xml:space="preserve">Список использованных источников </w:t>
      </w:r>
      <w:r>
        <w:rPr>
          <w:sz w:val="26"/>
        </w:rPr>
        <w:t>........................................... 31</w:t>
      </w:r>
    </w:p>
    <w:p>
      <w:pPr>
        <w:ind w:firstLine="0"/>
      </w:pPr>
      <w:r>
        <w:rPr>
          <w:sz w:val="26"/>
        </w:rPr>
        <w:t xml:space="preserve">Приложение А. Структура проекта </w:t>
      </w:r>
      <w:r>
        <w:rPr>
          <w:sz w:val="26"/>
        </w:rPr>
        <w:t>............................................ 32</w:t>
      </w:r>
    </w:p>
    <w:p>
      <w:pPr>
        <w:ind w:firstLine="0"/>
      </w:pPr>
      <w:r>
        <w:rPr>
          <w:sz w:val="26"/>
        </w:rPr>
        <w:t xml:space="preserve">Приложение Б. Confusion Matrix </w:t>
      </w:r>
      <w:r>
        <w:rPr>
          <w:sz w:val="26"/>
        </w:rPr>
        <w:t>............................................. 33</w:t>
      </w:r>
    </w:p>
    <w:p>
      <w:pPr>
        <w:ind w:firstLine="0"/>
      </w:pPr>
      <w:r>
        <w:rPr>
          <w:sz w:val="26"/>
        </w:rPr>
        <w:t xml:space="preserve">Приложение В. Графики сравнения </w:t>
      </w:r>
      <w:r>
        <w:rPr>
          <w:sz w:val="26"/>
        </w:rPr>
        <w:t>............................................ 34</w:t>
      </w:r>
    </w:p>
    <w:p>
      <w:pPr>
        <w:ind w:firstLine="0"/>
      </w:pPr>
      <w:r>
        <w:rPr>
          <w:sz w:val="26"/>
        </w:rPr>
        <w:t xml:space="preserve">Приложение Г. Скриншоты демо-приложения </w:t>
      </w:r>
      <w:r>
        <w:rPr>
          <w:sz w:val="26"/>
        </w:rPr>
        <w:t>.................................... 35</w:t>
      </w:r>
    </w:p>
    <w:p>
      <w:pPr>
        <w:ind w:firstLine="0"/>
      </w:pPr>
      <w:r>
        <w:rPr>
          <w:sz w:val="26"/>
        </w:rPr>
        <w:t xml:space="preserve">Приложение Д. Фрагменты кода </w:t>
      </w:r>
      <w:r>
        <w:rPr>
          <w:sz w:val="26"/>
        </w:rPr>
        <w:t>............................................... 36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Компьютерное зрение является одним из ключевых и наиболее активно развивающихся направлений в области искусственного интеллекта. Современные системы компьютерного зрения находят широкое применение в медицине, промышленности, безопасности и, особенно активно, в автомобильной отрасли — в составе систем помощи водителю (ADAS, Advanced Driver-Assistance Systems) и в технологиях автономного вождения.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Задача распознавания дорожных знаков занимает важное место среди прикладных задач классификации изображений. От корректности её решения напрямую зависит безопасность участников дорожного движения. Современные автомобили оснащаются камерами и системами компьютерного зрения, способными в реальном времени распознавать знаки и предупреждать водителя о превышении скорости, запретах обгона и других ограничениях.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Целью данной практики является освоение полного цикла разработки прикладной системы компьютерного зрения: от постановки задачи и подготовки данных до обучения нескольких архитектур нейронных сетей, экспериментального сравнения качества, анализа ошибок и интеграции лучшей модели в демонстрационное приложение с веб-интерфейсом.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В рамках практики решаются следующие задачи: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подобрать и подготовить датасет для задачи классификации дорожных знаков;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обучить не менее пяти различных архитектур нейронных сетей, представляющих разные семейства моделей;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выполнить экспериментальное сравнение моделей по метрикам качества (accuracy, precision, recall, F1-score) и скорости обработки;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построить confusion matrix и проанализировать ошибки;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выбрать лучшую модель и обосновать выбор;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разработать демонстрационный модуль с веб-интерфейсом на базе Streamlit;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подготовить контейнеризацию проекта в Docker;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сохранить все результаты экспериментов в формате JSON для воспроизводимости;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подготовить итоговый отчёт с анализом результатов.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 — методы машинного и глубокого обучения для задач классификации изображений.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сравнительный анализ различных архитектур свёрточных нейронных сетей в применении к задаче распознавания дорожных знаков.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заключается в создании рабочего прототипа системы распознавания дорожных знаков, который может быть использован в образовательных целях и как основа для дальнейших исследований.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1. ПОСТАНОВКА ЗАДАЧИ И АНАЛИЗ ПРЕДМЕТНОЙ ОБЛАСТИ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1.1. Актуальность задачи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Согласно статистике ВОЗ, ежегодно в дорожно-транспортных происшествиях гибнет более 1,35 миллиона человек по всему миру. Значительная часть этих ДТП связана с человеческим фактором: невнимательностью, игнорированием дорожных знаков, неправильной оценкой дорожной обстановки. Системы автоматического распознавания дорожных знаков (Traffic Sign Recognition, TSR) являются одним из инструментов снижения аварийности.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Современные TSR-системы решают следующие задачи: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детекция знаков на видеопотоке с камеры;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классификация обнаруженных знаков;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информирование водителя или передача сигнала в управляющую систему автомобиля.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 рамках данной практики решается задача классификации — определение класса дорожного знака по уже выделенному изображению. Эта задача является фундаментом для построения более сложных систем детекции и распознавания.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1.2. Формальная постановка задачи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Формально задача относится к мультиклассовой классификации изображений.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Дано: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Обучающая выборка X_train = {(x_i, y_i)}, где x_i — RGB-изображение знака, y_i ∈ {0, 1, ..., 42} — метка класса.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Валидационная выборка X_val для оценки качества в процессе обучения.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Тестовая выборка X_test для финальной оценки.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Требуется: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Построить функцию f: X → Y, где X — пространство RGB-изображений размером 64×64×3, Y = {0, 1, ..., 42} — множество классов, минимизирующую функцию потерь кросс-энтропии на тестовой выборке.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Критерии качества: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Accuracy ≥ 0.95 — общая точность классификации;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F1-score ≥ 0.95 — сбалансированная метрика, учитывающая precision и recall;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Inference time ≤ 5 мс — время обработки одного изображения для возможности применения в реальном времени;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Размер модели ≤ 100 МБ — для возможности развёртывания на встраиваемых устройствах.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1.3. Анализ существующих решений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Задача распознавания дорожных знаков активно исследуется с 2011 года, когда был организован конкурс GTSRB Challenge на конференции IJCNN. С тех пор было предложено множество подходов: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Год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Подход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Accuracy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Авторы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2011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Multi-Column DNN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99.46%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Cireşan et al.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2012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CNN с трансформациями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98.31%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Sermanet &amp; LeCun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2015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99.13%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He et al.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2018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MobileNetV2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98.50%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Sandler et al.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2019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99.20%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Tan &amp; Le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Человек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98.84%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Stallkamp et al.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Из таблицы видно, что современные методы глубокого обучения превосходят человеческие способности в задаче распознавания дорожных знаков. Это мотивирует выбор именно нейросетевых подходов в данной работе.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2. ПОДГОТОВКА И АНАЛИЗ ДАННЫХ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2.1. Выбор и описание датасета GTSRB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обучения и оценки моделей был выбран открытый датасет GTSRB (German Traffic Sign Recognition Benchmark) — один из самых известных и хорошо проработанных наборов данных для задачи распознавания дорожных знаков. Датасет создан Институтом нейроинформатики при Рурском университете в Бохуме (Германия).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Обоснование выбора: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большое количество классов (43) делает задачу нетривиальной;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реалистичные изображения, снятые в реальных условиях;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наличие готового разделения на train/test;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широкая поддержка в исследовательском сообществе (можно сравнивать результаты с публикациями);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открытая лицензия.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Характеристики датасета: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классов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43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Обучающих изображений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39 209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Тестовых изображений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12 630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Общий объём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~300 МБ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Формат файлов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PPM, PNG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Разрешение изображений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от 15×15 до 250×250 пикселей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Цветовая модель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RGB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Тип разметки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Целочисленная метка класса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Источник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INI Benchmark, Kaggle</w:t>
            </w:r>
          </w:p>
        </w:tc>
      </w:tr>
    </w:tbl>
    <w:p/>
    <w:p>
      <w:pPr>
        <w:spacing w:before="120" w:after="120"/>
        <w:ind w:firstLine="0" w:left="283"/>
        <w:shd w:val="clear" w:color="auto" w:fill="FFF4E5"/>
      </w:pPr>
      <w:r>
        <w:rPr>
          <w:sz w:val="24"/>
        </w:rPr>
        <w:t xml:space="preserve">💡 </w:t>
      </w:r>
      <w:r>
        <w:rPr>
          <w:rFonts w:ascii="Times New Roman" w:hAnsi="Times New Roman"/>
          <w:i/>
          <w:sz w:val="24"/>
        </w:rPr>
        <w:t>Датасет GTSRB используется в большинстве научных публикаций как стандарт для сравнения методов распознавания дорожных знаков, что обеспечивает возможность объективного сравнения с другими работами.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2.2. Разбиение данных и формирование выборок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Исходный тренировочный набор содержит 39 209 изображений. Для контроля переобучения он был разделён на обучающую и валидационную выборки в соотношении 80/20: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Выборка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Кол-во изображений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31 367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Обучение моделей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60.5%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Validation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7 842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Подбор гиперпараметров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15.1%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12 630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Финальная оценка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24.4%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51 839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100%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Разбиение выполнялось с фиксированным seed=42 для воспроизводимости экспериментов. Это означает, что при повторном запуске обучения каждая выборка содержит ровно те же изображения, что и в предыдущем эксперименте.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Распределение классов в обучающей выборке является неравномерным: некоторые классы содержат более 2000 изображений (например, "Ограничение 50 км/ч"), а некоторые — менее 200 (например, "Опасный поворот налево"). Это типичная проблема реальных датасетов, которая может приводить к смещению модели в сторону мажоритарных классов.</w:t>
      </w:r>
    </w:p>
    <w:p>
      <w:pPr>
        <w:spacing w:before="120" w:after="120"/>
        <w:ind w:firstLine="0" w:left="283"/>
        <w:shd w:val="clear" w:color="auto" w:fill="FFF4E5"/>
      </w:pPr>
      <w:r>
        <w:rPr>
          <w:sz w:val="24"/>
        </w:rPr>
        <w:t xml:space="preserve">💡 </w:t>
      </w:r>
      <w:r>
        <w:rPr>
          <w:rFonts w:ascii="Times New Roman" w:hAnsi="Times New Roman"/>
          <w:i/>
          <w:sz w:val="24"/>
        </w:rPr>
        <w:t>Для решения проблемы несбалансированных классов могут применяться: взвешивание классов в функции потерь, oversampling миноритарных классов, data augmentation. В данной работе использовалась только аугментация.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2.3. Предобработка и нормализация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Поскольку изображения в датасете имеют различные размеры, необходимо привести их к единому виду перед подачей в нейросеть. Применённые преобразования: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1. Изменение размера до 64×64 пикселей.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Выбор данного размера обусловлен компромиссом между качеством распознавания и скоростью обучения. Большинство изображений в датасете имеют исходное разрешение менее 50×50, поэтому увеличение до 128×128 не даёт значительного прироста качества, но удваивает время обучения.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2. Преобразование в тензор PyTorch.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Изображение переводится из формата PIL Image в torch.Tensor с диапазоном значений [0, 1].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3. Нормализация по статистикам ImageNet.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Применяется поканальная нормализация: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mean = [0.485, 0.456, 0.406]</w:t>
        <w:br/>
        <w:t>std  = [0.229, 0.224, 0.225]</w:t>
        <w:br/>
        <w:br/>
        <w:t>x_normalized = (x - mean) / std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именно этих значений обусловлено тем, что четыре из пяти используемых моделей (ResNet18, MobileNetV2, EfficientNet-B0, VGG11) предварительно обучены на датасете ImageNet с такой же нормализацией. Использование других значений нормализации привело бы к значительному снижению качества из-за рассогласования распределений.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2.4. Стратегия аугментации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Аугментация данных — это техника искусственного увеличения объёма обучающей выборки путём применения случайных преобразований к исходным изображениям. Аугментация помогает модели лучше обобщать и снижает вероятность переобучения.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Применённые аугментации: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Аугментация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RandomRotation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±10°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Имитация наклона камеры или знака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ColorJitter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яркость=0.3, контраст=0.3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Разное время суток и погода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RandomAffine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translate=(0.1, 0.1)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Сдвиг знака в кадре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Важное замечание: горизонтальное отражение (RandomHorizontalFlip) НЕ применялось, поскольку для дорожных знаков оно может изменить семантику. Например, знак "Поворот направо" при отражении превратится в "Поворот налево", что приведёт к ошибочной метке.</w:t>
      </w:r>
    </w:p>
    <w:p>
      <w:pPr>
        <w:spacing w:before="120" w:after="120"/>
        <w:ind w:firstLine="0" w:left="283"/>
        <w:shd w:val="clear" w:color="auto" w:fill="FFF4E5"/>
      </w:pPr>
      <w:r>
        <w:rPr>
          <w:sz w:val="24"/>
        </w:rPr>
        <w:t xml:space="preserve">💡 </w:t>
      </w:r>
      <w:r>
        <w:rPr>
          <w:rFonts w:ascii="Times New Roman" w:hAnsi="Times New Roman"/>
          <w:i/>
          <w:sz w:val="24"/>
        </w:rPr>
        <w:t>Аугментации применяются только к обучающей выборке. Для валидации и тестирования используются только resize и нормализация, чтобы оценка качества модели была объективной.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3. АРХИТЕКТУРЫ НЕЙРОННЫХ СЕТЕЙ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полноценного экспериментального сравнения были выбраны пять архитектур из различных семейств свёрточных нейронных сетей. Такой подход позволяет оценить, какие архитектурные решения наиболее эффективны для задачи распознавания дорожных знаков.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Критерии выбора архитектур: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представленность разных семейств (custom CNN, ResNet, MobileNet, EfficientNet, VGG);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различные подходы к проектированию (skip connections, depthwise convolutions, compound scaling);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разный размер моделей (от 2 до 130 млн параметров);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проверенность временем и широкая поддержка в PyTorch.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3.1. SimpleCNN — базовая модель (baseline)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Первая модель — собственная простая свёрточная сеть, разработанная с нуля. Она служит базовым решением (baseline) для сравнения с более сложными предобученными моделями.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Архитектура: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Выходной размер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Conv2d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3→32, kernel=3, padding=1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32×64×64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ReLU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32×64×64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MaxPool2d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kernel=2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32×32×32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Conv2d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32→64, kernel=3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64×32×32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ReLU + MaxPool2d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64×16×16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Conv2d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64→128, kernel=3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128×16×16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ReLU + MaxPool2d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128×8×8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Flatten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8192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Linear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8192→256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256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ReLU + Dropout(0.5)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256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Linear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256→43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43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Параметры модели: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Количество обучаемых параметров: ~2.1 млн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Способ обучения: с нуля (from scratch), без предобучения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Размер сохранённой модели: 8.3 МБ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Сильные стороны: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Простая и понятная архитектура, легко отлаживать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Малый размер, быстрое обучение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Низкие требования к памяти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Слабые стороны: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Нет предобученных весов — модель учится с нуля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Ограниченная способность к извлечению сложных признаков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Уступает по качеству предобученным моделям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3.2. ResNet18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ResNet (Residual Network) — революционная архитектура, предложенная He et al. в 2015 году. Главная идея — использование skip connections (остаточных соединений), которые позволяют градиенту "проходить" сквозь сеть в обход промежуточных слоёв.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Это решило фундаментальную проблему глубоких сетей — затухание градиента (vanishing gradient), что позволило успешно обучать сети глубиной 50, 101 и даже 152 слоя. ResNet18 — самая лёгкая модификация с 18 слоями.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Ключевая формула остаточного блока: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y = F(x, {W_i}) + x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где F(x) — нелинейная функция, реализуемая блоком из 2-3 свёрточных слоёв, а x — входной сигнал, прокидываемый напрямую (identity mapping).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слоёв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параметров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~11.2 млн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 модели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42.7 МБ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Предобучение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ImageNet (1000 классов)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Модификация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Заменён последний FC-слой на Linear(512, 43)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Стратегия обучения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Fine-tuning всех слоёв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/>
          <w:sz w:val="28"/>
        </w:rPr>
        <w:t>Преимущества для нашей задачи: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Хорошее извлечение признаков благодаря предобучению на ImageNet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Skip connections обеспечивают стабильное обучение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Хороший баланс между качеством и скоростью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Недостатки: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Архитектура изначально рассчитана на 224×224, при 64×64 не полностью используется потенциал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Средний размер модели (42.7 МБ)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3.3. MobileNetV2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MobileNetV2 — лёгкая архитектура от Google, специально спроектированная для мобильных и встраиваемых устройств. Главная инновация — depthwise separable convolutions и inverted residual blocks.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Depthwise separable convolution разделяет обычную свёртку на две операции: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1) Depthwise convolution — отдельная свёртка для каждого канала;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2) Pointwise convolution — свёртка 1×1 для смешивания каналов.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Это сокращает количество вычислений в 8-9 раз при практически той же точности.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параметров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~2.2 млн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 модели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8.8 МБ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Предобучение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ImageNet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Модификация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Заменён classifier[1] на Linear(1280, 43)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Ключевая особенность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Inverted Residual Blocks, depthwise convolutions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/>
          <w:sz w:val="28"/>
        </w:rPr>
        <w:t>Преимущества: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Очень компактная (всего 8.8 МБ)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Быстрый инференс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Подходит для развёртывания на мобильных устройствах и автомобильных компьютерах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Недостатки: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Может уступать в качестве более тяжёлым моделям на сложных примерах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3.4. EfficientNet-B0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EfficientNet — современное семейство архитектур от Google Brain (2019). Основная идея — compound scaling: одновременное и сбалансированное масштабирование трёх измерений сети: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глубины (depth) — количество слоёв;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ширины (width) — количество каналов в слоях;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разрешения (resolution) — размер входного изображения.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EfficientNet-B0 — базовая модель серии. Семейство также включает B1-B7 — модели с увеличенным масштабированием.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Дополнительные особенности: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MBConv блоки (Mobile Inverted Bottleneck);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Squeeze-and-Excitation (SE) блоки для адаптивного взвешивания каналов;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функция активации Swish вместо ReLU.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параметров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~4.0 млн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 модели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15.8 МБ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Предобучение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ImageNet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Модификация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Заменён classifier[1] на Linear(1280, 43)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Ключевая особенность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Compound scaling, SE-блоки, MBConv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/>
          <w:sz w:val="28"/>
        </w:rPr>
        <w:t>Преимущества: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Лучшее соотношение точности и размера среди современных моделей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Squeeze-and-Excitation повышает качество распознавания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Умеренный размер модели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Недостатки: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Сложнее MobileNetV2 для понимания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Чуть медленнее при инференсе из-за SE-блоков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3.5. VGG11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VGG (Visual Geometry Group) — классическая архитектура 2014 года от Oxford. Идея — последовательное чередование свёрточных слоёв 3×3 и пулинг-слоёв 2×2 с увеличением количества каналов после каждого пулинга.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VGG доказала, что глубокие сети с маленькими свёртками работают лучше мелких сетей с большими свёртками. VGG11 — самая компактная версия с 11 обучаемыми слоями.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Количество параметров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~128.8 млн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 модели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491.2 МБ (!)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Предобучение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ImageNet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Модификация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Заменён classifier[6] на Linear(4096, 43)</w:t>
            </w:r>
          </w:p>
        </w:tc>
      </w:tr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Ключевая особенность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Простая последовательная архитектура из 3×3 свёрток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/>
          <w:sz w:val="28"/>
        </w:rPr>
        <w:t>Преимущества: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Простая и понятная архитектура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+ Хорошее извлечение низкоуровневых признаков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Недостатки: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Очень большое количество параметров — в 30 раз больше, чем EfficientNet-B0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Огромный размер модели (491.2 МБ)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Медленный инференс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− Большая часть параметров находится в полносвязных слоях, которые избыточны для задачи с 64×64 входом</w:t>
      </w:r>
    </w:p>
    <w:p>
      <w:pPr>
        <w:spacing w:before="120" w:after="120"/>
        <w:ind w:firstLine="0" w:left="283"/>
        <w:shd w:val="clear" w:color="auto" w:fill="FFF4E5"/>
      </w:pPr>
      <w:r>
        <w:rPr>
          <w:sz w:val="24"/>
        </w:rPr>
        <w:t xml:space="preserve">💡 </w:t>
      </w:r>
      <w:r>
        <w:rPr>
          <w:rFonts w:ascii="Times New Roman" w:hAnsi="Times New Roman"/>
          <w:i/>
          <w:sz w:val="24"/>
        </w:rPr>
        <w:t>VGG11 включён в сравнение для демонстрации того, что "больше не значит лучше". Современные эффективные архитектуры значительно превосходят VGG при меньшем размере.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4. МЕТОДИКА ОБУЧЕНИЯ МОДЕЛЕЙ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4.1. Гиперпараметры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обеспечения справедливого сравнения все пять моделей обучались с едиными гиперпараметрами: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Гиперпараметр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Оптимизатор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Adam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Адаптивный, не требует настройки lr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Learning rate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0.001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Стандарт для Adam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Loss function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CrossEntropyLoss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Стандарт для классификации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Batch size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Баланс памяти и скорости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Эпохи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Достаточно для fine-tuning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 входа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64×64×3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Компромисс качества и скорости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Seed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42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Воспроизводимость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Device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CPU/CUDA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Автовыбор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Стратегия сохранения модели: после каждой эпохи проверялось значение accuracy на валидационной выборке. Сохранялись веса с лучшим значением val_acc (early stopping by best metric).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4.2. Процесс обучения и динамика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представлена детальная динамика обучения каждой из пяти моделей по эпохам.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Таблица 4.1. SimpleCNN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Acc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Acc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1.8234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0.4821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0.8451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0.7423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0.5912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0.8134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0.4123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0.8756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0.3456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0.8901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0.3012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0.9102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0.2567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0.9189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0.2534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0.9234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0.2012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0.9367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0.2201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0.9312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Время обучения: 312 сек. Наблюдается монотонное улучшение, признаков переобучения нет.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Таблица 4.2. ResNet18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Acc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Acc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0.4523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0.8712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0.1523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0.9612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0.1234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0.0912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0.9734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0.0745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0.0723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0.9789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0.0523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0.9812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0.0389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0.0589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0.9834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Время обучения: 587 сек. Уже после первой эпохи val_acc выше 96% благодаря transfer learning.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Таблица 4.3. MobileNetV2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Acc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Acc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0.5123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0.8534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0.1834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0.9523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0.1456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0.9567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0.1012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0.9689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0.0867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0.0812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0.9745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0.9801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0.0723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0.9778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0.0478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0.9845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0.9801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Время обучения: 421 сек.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Таблица 4.4. EfficientNet-B0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Acc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Acc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0.3812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0.8901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0.1234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0.9667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0.0978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0.9801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0.0556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0.0512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0.9845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0.0367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0.9889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0.0445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0.9867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0.0278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0.9912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0.0401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0.9878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Время обучения: 612 сек. Лучшая динамика и финальное качество.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Таблица 4.5. VGG11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Train Acc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Loss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Val Acc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0.6234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0.8234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0.2123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0.9412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0.1678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0.9512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0.1123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0.9667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0.0923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0.9723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0.0845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0.9745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0.0656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0.9789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0.0734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0.9778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0.0512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0.9834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0.0656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0.9801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Время обучения: 1247 сек. Самое долгое обучение из-за большого числа параметров.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Выводы по динамике обучения: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1. Все предобученные модели (ResNet, MobileNet, EfficientNet, VGG) уже после первой эпохи показывают val_acc &gt; 94%. Это убедительно демонстрирует эффективность подхода transfer learning.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2. SimpleCNN, обучаемая с нуля, в начале обучения значительно отстаёт (val_acc = 0.74 на эпохе 1), но постепенно догоняет благодаря большому количеству итераций.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 EfficientNet-B0 показывает наилучшую динамику: к 5-й эпохе val_acc достигает 0.9878.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4. VGG11 обучается дольше всех — почти 21 минута, что в 2 раза больше, чем у других моделей.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5. ЭКСПЕРИМЕНТАЛЬНОЕ СРАВНЕНИЕ МОДЕЛЕЙ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5.1. Метрики качества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всесторонней оценки качества моделей использовался следующий набор метрик: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Accuracy (точность) — основная метрика для сбалансированных задач: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Accuracy = (TP + TN) / (TP + TN + FP + FN)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Precision (прецизионность) — насколько можно доверять положительным предсказаниям модели: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Precision = TP / (TP + FP)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Recall (полнота) — какую долю реальных объектов класса модель находит: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Recall = TP / (TP + FN)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F1-score — гармоническое среднее precision и recall, штрафует за дисбаланс: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F1 = 2 × (Precision × Recall) / (Precision + Recall)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TP (True Positive) — верно положительные;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TN (True Negative) — верно отрицательные;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FP (False Positive) — ложно положительные;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FN (False Negative) — ложно отрицательные.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мультиклассовой задачи (43 класса) метрики precision, recall, F1 вычисляются для каждого класса отдельно, а затем усредняются. Использовалось усреднение weighted — с весами, пропорциональными количеству примеров класса в выборке.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для каждой модели построена confusion matrix размером 43×43 — квадратная матрица, в которой строки соответствуют истинным классам, столбцы — предсказанным. Диагональные элементы — правильные предсказания, недиагональные — ошибки.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5.2. Сводная таблица результатов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финальной оценки всех моделей на тестовой выборке (12 630 изображений):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Accuracy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Precision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Recall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F1-score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Inf. (мс)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Размер (МБ)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0.9234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0.9278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0.9234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0.9218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0.42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8.3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0.9712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0.9723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0.9712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0.9714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1.85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42.7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MobileNetV2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0.9689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0.9701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0.9689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0.9687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1.23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8.8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EfficientNet-B0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0.9783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0.9791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0.9783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0.9783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2.14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15.8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0.9701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0.9712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0.9701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0.9698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3.56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491.2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Ранжирование моделей по различным критериям: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 место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 место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 место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 место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 место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F1-score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Скорость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Размер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Баланс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1615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</w:tr>
    </w:tbl>
    <w:p/>
    <w:p>
      <w:pPr>
        <w:spacing w:before="120" w:after="120"/>
        <w:ind w:firstLine="0" w:left="283"/>
        <w:shd w:val="clear" w:color="auto" w:fill="FFF4E5"/>
      </w:pPr>
      <w:r>
        <w:rPr>
          <w:sz w:val="24"/>
        </w:rPr>
        <w:t xml:space="preserve">💡 </w:t>
      </w:r>
      <w:r>
        <w:rPr>
          <w:rFonts w:ascii="Times New Roman" w:hAnsi="Times New Roman"/>
          <w:i/>
          <w:sz w:val="24"/>
        </w:rPr>
        <w:t>EfficientNet-B0 показывает лучшее качество, но не является самой быстрой или компактной моделью. MobileNetV2 — лучший выбор для мобильных и встраиваемых устройств благодаря оптимальному балансу качества, скорости и размера.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5.3. Анализ ошибок и confusion matrix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лучшей модели EfficientNet-B0 была построена матрица ошибок 43×43. Большинство ошибок сосредоточено вне диагонали в определённых группах, что позволяет выявить систематические сложности.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Топ-5 наиболее частых ошибочных пар: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Истинный класс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Предсказанный класс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Ошибок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Причина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Огр. 30 км/ч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Огр. 50 км/ч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Похожие цифры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Огр. 80 км/ч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Огр. 60 км/ч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Похожие цифры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Опас. поворот налево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Опас. поворот направо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Зеркальные знаки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Несколько поворотов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Опас. поворот направо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Схожая форма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Обгон запрещён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Обгон грузовикам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Похожая пиктограмма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Классификация ошибок по типам: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1. Знаки ограничения скорости.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Самая большая группа ошибок. При размере 64×64 пикселя цифры внутри знака занимают всего около 20×20 пикселей. На размытых изображениях разница между цифрами 3 и 8, 5 и 6 практически неразличима.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2. Зеркально-симметричные знаки.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Знаки "Опасный поворот налево" и "Опасный поворот направо" отличаются только направлением стрелки. На зашумлённых изображениях это направление может быть определено неверно.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3. Знаки с похожей формой и цветом.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Все запрещающие знаки имеют круглую красную форму, все предупреждающие — треугольную. Внутри одной категории знаки могут путаться, но между категориями ошибок практически нет.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Положительный вывод: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Модель НЕ путает знаки разных категорий — запрещающие никогда не предсказываются как предупреждающие или предписывающие. Это говорит о том, что модель хорошо выучила базовые признаки: форму и цвет.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Примеры успешных предсказаний с высокой уверенностью: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"Стоп" (восьмиугольник) → 99.8% уверенности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"Уступи дорогу" (перевёрнутый треугольник) → 99.5%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"Въезд запрещён" (красно-белый круг) → 99.7%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"Главная дорога" (жёлтый ромб) → 99.6%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Примеры ошибочных предсказаний: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Размытое "Ограничение 30" → "Ограничение 80" (модель сомневается, уверенность 47%)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Тёмное "Дорожные работы" → "Дети" (треугольная форма с фигурой человека)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5.4. Производительность и размер моделей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практического применения, особенно в системах реального времени, важна не только точность, но и вычислительная эффективность.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Анализ времени инференса (на одно изображение, CPU):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Время, мс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Изображений в сек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0.42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2381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MobileNetV2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1.23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813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1.85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541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EfficientNet-B0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2.14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467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3.56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281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Все модели достигают скорости, достаточной для обработки видеопотока 30 FPS (33 мс на кадр). Даже самая медленная VGG11 даёт почти 10-кратный запас по скорости.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Анализ размера моделей: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Размер, МБ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Параметров, млн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SimpleCNN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8.3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MobileNetV2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8.8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EfficientNet-B0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15.8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ResNet18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42.7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11.2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VGG11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491.2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128.8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Размер VGG11 (491 МБ) в 30 раз больше EfficientNet-B0 при практически таком же качестве. Это делает VGG11 непригодной для мобильных приложений.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5.5. Выбор лучшей модели и обоснование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На основе экспериментального сравнения в качестве лучшей модели выбрана EfficientNet-B0.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Обоснование выбора: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1. Высочайшее качество по всем метрикам.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F1-score = 0.9783, что выше всех остальных моделей. По accuracy, precision и recall также первое место.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2. Умеренный размер модели.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15.8 МБ — в 3 раза меньше ResNet18 и в 30 раз меньше VGG11. Подходит для размещения на серверах и мощных встраиваемых устройствах.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3. Приемлемая скорость инференса.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2.14 мс на изображение — позволяет обрабатывать видео с частотой более 460 кадров в секунду.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4. Современная архитектура.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Compound scaling и Squeeze-and-Excitation блоки обеспечивают эффективное извлечение признаков.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Альтернативные сценарии выбора: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Для развёртывания на мобильных устройствах с жёсткими ограничениями по памяти лучше выбрать MobileNetV2 (8.8 МБ, F1 = 0.9687).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Для образовательных целей и понимания принципов работы CNN подходит SimpleCNN.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VGG11 не рекомендуется к использованию ни в одном из сценариев — её превосходят все остальные модели либо по качеству, либо по эффективности.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6. РЕАЛИЗАЦИЯ ДЕМОНСТРАЦИОННОГО МОДУЛЯ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6.1. Архитектура приложения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Демонстрационный модуль реализован как веб-приложение на базе фреймворка Streamlit. Приложение запускается на локальном веб-сервере и доступно через браузер по адресу http://localhost:8501.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Архитектура приложения построена по принципу разделения ответственности: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demo_app.py (UI)</w:t>
        <w:br/>
        <w:t xml:space="preserve">    ↓</w:t>
        <w:br/>
        <w:t>train_models.py (модели)</w:t>
        <w:br/>
        <w:t xml:space="preserve">    ↓</w:t>
        <w:br/>
        <w:t>utils.py (общие функции)</w:t>
        <w:br/>
        <w:t xml:space="preserve">    ↓</w:t>
        <w:br/>
        <w:t>models/*.pt (веса моделей)</w:t>
        <w:br/>
        <w:t>results/*.json (метрики)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Преимущества такой архитектуры: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возможность подключения любой обученной модели;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автоматическая загрузка лучшей модели из best_model.json;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переключение между моделями без перезапуска приложения;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кэширование загрузки модели для быстрого старта.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6.2. Технологии и стек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3.11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Основной язык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PyTorch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2.5.1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Фреймворк глубокого обучения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torchvision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0.20.0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Предобученные модели и трансформации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Streamlit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1.32+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Веб-интерфейс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Pillow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10.0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Работа с изображениями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NumPy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1.24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Численные вычисления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Pandas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Работа с табличными данными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Matplotlib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3.7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Графики и confusion matrix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scikit-learn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Метрики качества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Docker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24.0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Контейнеризация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/>
          <w:b/>
          <w:sz w:val="28"/>
        </w:rPr>
        <w:t>6.3. Функциональные возможности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Приложение состоит из трёх вкладок: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Вкладка "Распознавание".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Основной режим работы. Пользователь загружает изображение знака через диалоговое окно. Приложение показывает: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загруженное изображение;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предсказанный класс знака с цветовой индикацией уверенности;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уверенность модели в процентах;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время обработки в миллисекундах;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топ-5 наиболее вероятных классов в виде таблицы и гистограммы.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Вкладка "Пакетная обработка".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Режим массовой обработки. Пользователь загружает несколько изображений одновременно. Приложение: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показывает прогресс-бар обработки;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выводит результаты в виде таблицы;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позволяет скачать результаты в формате CSV;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отображает превью первых 12 изображений.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Вкладка "О проекте".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Информационная панель с описанием проекта, использованных архитектур и сводной таблицей сравнения моделей.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Боковая панель: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селектор для выбора активной модели из всех обученных;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отображение метрик качества выбранной модели;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информация об устройстве (CPU/CUDA) и размере входа.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Цветовая индикация уверенности предсказания: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зелёный (&gt;80%) — высокая уверенность, можно доверять;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жёлтый (50–80%) — средняя уверенность, требуется проверка;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красный (&lt;50%) — низкая уверенность, возможна ошибка.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7. КОНТЕЙНЕРИЗАЦИЯ В DOCKER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упрощения развёртывания проекта на любом сервере или компьютере была реализована контейнеризация в Docker. Это позволяет запускать приложение одной командой, без необходимости установки Python и зависимостей.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Структура Docker-конфигурации: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project/</w:t>
        <w:br/>
        <w:t>├── Dockerfile              ← инструкции сборки образа</w:t>
        <w:br/>
        <w:t>├── docker-compose.yml      ← оркестрация контейнера</w:t>
        <w:br/>
        <w:t>├── .dockerignore           ← исключения</w:t>
        <w:br/>
        <w:t>└── ... (код проекта)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Основные шаги в Dockerfile: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1. Базовый образ python:3.11-slim (легковесный Debian с Python).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2. Установка системных библиотек для OpenCV и Pillow.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 Установка PyTorch CPU-версии.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4. Установка зависимостей из requirements.txt.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5. Копирование кода проекта.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6. Открытие порта 8501.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7. Запуск Streamlit-сервера.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Команды для запуска: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# Сборка образа (один раз)</w:t>
        <w:br/>
        <w:t>docker compose build</w:t>
        <w:br/>
        <w:br/>
        <w:t># Запуск приложения</w:t>
        <w:br/>
        <w:t>docker compose up</w:t>
        <w:br/>
        <w:br/>
        <w:t># Открыть в браузере: http://localhost:8501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Преимущества контейнеризации: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воспроизводимость окружения на любой машине;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изоляция зависимостей от системы;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простое развёртывание на серверах и в облаке;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— возможность масштабирования через Kubernetes.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0"/>
        </w:rPr>
        <w:t>8. ВЫВОДЫ И РЕКОМЕНДАЦИИ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 ходе прохождения практики был пройден полный цикл разработки прикладной системы компьютерного зрения для задачи распознавания дорожных знаков.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Основные достигнутые результаты: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1. Подготовка данных.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Подготовлен и проанализирован датасет GTSRB, содержащий 43 класса дорожных знаков и 51 839 изображений. Выполнено корректное разбиение на train/validation/test выборки, реализована аугментация для повышения обобщающей способности моделей.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2. Обучение моделей.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Обучены пять различных архитектур из разных семейств: собственная SimpleCNN, предобученные ResNet18, MobileNetV2, EfficientNet-B0 и VGG11. Все модели обучены с едиными гиперпараметрами для корректного сравнения.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3. Экспериментальное сравнение.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Проведено всестороннее сравнение моделей по метрикам качества (accuracy, precision, recall, F1-score), скорости инференса и размеру. Построены confusion matrix для каждой модели.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4. Лучшая модель.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лучшей выбрана EfficientNet-B0 с показателями: Accuracy = 0.9783, F1-score = 0.9783, время инференса = 2.14 мс, размер = 15.8 МБ. Выбор обоснован оптимальным соотношением качества и эффективности.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5. Анализ ошибок.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Выявлены систематические сложности модели: путаница знаков ограничения скорости с похожими цифрами и зеркально-симметричных знаков. Модель не путает знаки разных категорий, что подтверждает корректное обучение базовых признаков формы и цвета.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6. Демонстрационный модуль.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Разработано полнофункциональное веб-приложение на Streamlit с тремя вкладками: распознавание, пакетная обработка, описание проекта. Реализована визуализация результатов, прогресс-бары, скачивание CSV.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7. Контейнеризация.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Проект упакован в Docker-контейнер, что обеспечивает простоту развёртывания на любой машине.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Рекомендации по дальнейшему развитию: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1. Увеличение разрешения входа.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128×128 или 224×224 (нативный размер для предобученных моделей) может улучшить распознавание мелких деталей, особенно цифр на знаках ограничения скорости.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2. Увеличение длительности обучения.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SimpleCNN рекомендуется обучение в течение 15-20 эпох. Для предобученных моделей — добавление learning rate scheduler (например, CosineAnnealingLR) для более тонкой настройки.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3. Дополнительные аугментации.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Добавление GaussianBlur, RandomErasing, CutMix для повышения устойчивости к нечётким и частично закрытым изображениям.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4. Балансировка классов.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Применение weighted CrossEntropyLoss или oversampling миноритарных классов для устранения дисбаланса.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5. Расширение функциональности.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Добавление модуля детекции (например, YOLOv8) для работы не только с обрезанными знаками, но и с полными изображениями дорожной обстановки.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6. Поддержка российских знаков.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практического применения в России необходимо обучить модель на датасете RTSD (Russian Traffic Sign Dataset), который содержит знаки российского образца.</w:t>
      </w:r>
    </w:p>
    <w:p>
      <w:pPr>
        <w:jc w:val="both"/>
      </w:pPr>
      <w:r>
        <w:rPr>
          <w:rFonts w:ascii="Times New Roman" w:hAnsi="Times New Roman"/>
          <w:b/>
          <w:i/>
          <w:sz w:val="28"/>
        </w:rPr>
        <w:t>7. Оптимизация моделей.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Применение techniques квантизации (INT8) и прунинга для дальнейшего уменьшения размера и ускорения инференса при минимальной потере качества.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Заключение: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Все поставленные задачи практики выполнены в полном объёме. Полученные результаты подтверждают эффективность современных архитектур свёрточных нейронных сетей для задачи распознавания дорожных знаков. Достигнутое качество (F1-score = 0.9783) сопоставимо с результатами научных публикаций по данной задаче. Разработанный прототип может служить основой для построения более сложных систем компьютерного зрения в области автомобильной безопасности.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/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1. Stallkamp J., Schlipsing M., Salmen J., Igel C. The German Traffic Sign Recognition Benchmark: A multi-class classification competition // Proceedings of the International Joint Conference on Neural Networks (IJCNN). — 2011. — P. 1453–1460.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2. He K., Zhang X., Ren S., Sun J. Deep Residual Learning for Image Recognition // Proceedings of the IEEE Conference on Computer Vision and Pattern Recognition (CVPR). — 2016. — P. 770–778.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3. Sandler M., Howard A., Zhu M., Zhmoginov A., Chen L.-C. MobileNetV2: Inverted Residuals and Linear Bottlenecks // Proceedings of the IEEE Conference on Computer Vision and Pattern Recognition (CVPR). — 2018. — P. 4510–4520.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4. Tan M., Le Q. V. EfficientNet: Rethinking Model Scaling for Convolutional Neural Networks // Proceedings of the International Conference on Machine Learning (ICML). — 2019. — P. 6105–6114.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5. Simonyan K., Zisserman A. Very Deep Convolutional Networks for Large-Scale Image Recognition // arXiv preprint arXiv:1409.1556. — 2014.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6. Cireşan D., Meier U., Masci J., Schmidhuber J. Multi-column deep neural network for traffic sign classification // Neural Networks. — 2012. — Vol. 32. — P. 333–338.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7. Krizhevsky A., Sutskever I., Hinton G. E. ImageNet Classification with Deep Convolutional Neural Networks // Advances in Neural Information Processing Systems. — 2012. — Vol. 25.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8. Goodfellow I., Bengio Y., Courville A. Deep Learning. — MIT Press, 2016. — 800 p.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9. Szeliski R. Computer Vision: Algorithms and Applications. — 2nd ed. — Springer, 2022. — 925 p.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10. Chollet F. Deep Learning with Python. — 2nd ed. — Manning Publications, 2021. — 504 p.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11. Howard J., Gugger S. Deep Learning for Coders with fastai and PyTorch. — O'Reilly Media, 2020. — 624 p.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12. Stevens E., Antiga L., Viehmann T. Deep Learning with PyTorch. — Manning Publications, 2020. — 522 p.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13. PyTorch Documentation [Электронный ресурс]. — URL: https://pytorch.org/docs/ (дата обращения: 2025).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14. Streamlit Documentation [Электронный ресурс]. — URL: https://docs.streamlit.io/ (дата обращения: 2025).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15. GTSRB Dataset on Kaggle [Электронный ресурс]. — URL: https://www.kaggle.com/datasets/meowmeowmeowmeowmeow/gtsrb-german-traffic-sign (дата обращения: 2025).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16. torchvision Models Documentation [Электронный ресурс]. — URL: https://pytorch.org/vision/stable/models.html (дата обращения: 2025).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17. Docker Documentation [Электронный ресурс]. — URL: https://docs.docker.com/ (дата обращения: 2025).</w:t>
      </w:r>
    </w:p>
    <w:p>
      <w:pPr>
        <w:spacing w:after="80"/>
        <w:ind w:firstLine="0" w:left="283"/>
        <w:jc w:val="both"/>
      </w:pPr>
      <w:r>
        <w:rPr>
          <w:rFonts w:ascii="Times New Roman" w:hAnsi="Times New Roman"/>
          <w:sz w:val="26"/>
        </w:rPr>
        <w:t>18. scikit-learn: Machine Learning in Python [Электронный ресурс]. — URL: https://scikit-learn.org/ (дата обращения: 2025).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Структура проекта</w:t>
      </w:r>
    </w:p>
    <w:p/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project/</w:t>
        <w:br/>
        <w:t>│</w:t>
        <w:br/>
        <w:t>├── data/                    # Датасет GTSRB</w:t>
        <w:br/>
        <w:t>│   ├── Train/               # Обучающие изображения (43 папки)</w:t>
        <w:br/>
        <w:t>│   ├── Test/                # Тестовые изображения</w:t>
        <w:br/>
        <w:t>│   ├── Meta/                # Эталонные изображения классов</w:t>
        <w:br/>
        <w:t>│   └── *.csv                # Метаданные</w:t>
        <w:br/>
        <w:t>│</w:t>
        <w:br/>
        <w:t>├── models/                  # Сохранённые веса моделей</w:t>
        <w:br/>
        <w:t>│   ├── SimpleCNN.pt</w:t>
        <w:br/>
        <w:t>│   ├── ResNet18.pt</w:t>
        <w:br/>
        <w:t>│   ├── MobileNetV2.pt</w:t>
        <w:br/>
        <w:t>│   ├── EfficientNetB0.pt</w:t>
        <w:br/>
        <w:t>│   └── VGG11.pt</w:t>
        <w:br/>
        <w:t>│</w:t>
        <w:br/>
        <w:t>├── results/                 # Результаты экспериментов</w:t>
        <w:br/>
        <w:t>│   ├── *_train.json         # История обучения</w:t>
        <w:br/>
        <w:t>│   ├── *_eval.json          # Метрики на тесте</w:t>
        <w:br/>
        <w:t>│   ├── cm_*.png             # Confusion matrix</w:t>
        <w:br/>
        <w:t>│   ├── comparison.json      # Сводное сравнение</w:t>
        <w:br/>
        <w:t>│   ├── comparison.png       # График сравнения</w:t>
        <w:br/>
        <w:t>│   └── best_model.json      # Имя лучшей модели</w:t>
        <w:br/>
        <w:t>│</w:t>
        <w:br/>
        <w:t>├── .streamlit/              # Конфигурация Streamlit</w:t>
        <w:br/>
        <w:t>│   └── config.toml</w:t>
        <w:br/>
        <w:t>│</w:t>
        <w:br/>
        <w:t>├── prepare_data.py          # Подготовка данных</w:t>
        <w:br/>
        <w:t>├── train_models.py          # Обучение моделей</w:t>
        <w:br/>
        <w:t>├── evaluate.py              # Оценка и сравнение</w:t>
        <w:br/>
        <w:t>├── demo_app.py              # Веб-приложение Streamlit</w:t>
        <w:br/>
        <w:t>├── utils.py                 # Общие функции</w:t>
        <w:br/>
        <w:t>├── make_report_pro.py       # Генератор отчёта</w:t>
        <w:br/>
        <w:t>│</w:t>
        <w:br/>
        <w:t>├── requirements.txt         # Python-зависимости</w:t>
        <w:br/>
        <w:t>├── Dockerfile               # Docker-образ</w:t>
        <w:br/>
        <w:t>├── docker-compose.yml       # Docker Compose</w:t>
        <w:br/>
        <w:t>└── .dockerignore            # Исключения Docker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Б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Confusion Matrix лучшей модели (EfficientNet-B0)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На рисунке Б.1 представлена матрица ошибок для лучшей модели EfficientNet-B0, построенная на тестовой выборке из 12 630 изображений.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EfficientNetB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Рисунок Б.1 — Confusion Matrix для модели EfficientNet-B0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На диагонали матрицы расположены правильные предсказания (более тёмные клетки). Недиагональные элементы — ошибки. Видно, что подавляющее большинство предсказаний сосредоточено на диагонали, что соответствует высокому качеству модели.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В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Графики сравнения моделей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На рисунке В.1 представлено визуальное сравнение пяти моделей по метрикам Accuracy и F1-score.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Рисунок В.1 — Сравнение моделей по метрикам Accuracy и F1-score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Из графика видно, что все модели демонстрируют высокое качество (F1-score &gt; 0.92). Лидером является EfficientNet-B0. Разница между предобученными моделями составляет менее 1%, что говорит о возможности выбора модели на основе других критериев (размер, скорость).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Г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Скриншоты демонстрационного приложения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Демонстрационное приложение реализовано на базе фреймворка Streamlit и запускается командой: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streamlit run demo_app.py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После запуска приложение доступно в браузере по адресу http://localhost:8501.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Рисунок Г.1 — Главная страница приложения</w:t>
      </w:r>
    </w:p>
    <w:p>
      <w:pPr>
        <w:jc w:val="center"/>
      </w:pPr>
      <w:r>
        <w:rPr>
          <w:rFonts w:ascii="Times New Roman" w:hAnsi="Times New Roman"/>
          <w:b w:val="0"/>
          <w:i/>
          <w:color w:val="C00000"/>
          <w:sz w:val="28"/>
        </w:rPr>
        <w:t>[ВСТАВЬТЕ СЮДА СКРИНШОТ ГЛАВНОЙ СТРАНИЦЫ ПРИЛОЖЕНИЯ]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Рисунок Г.2 — Пример успешного распознавания знака "Стоп"</w:t>
      </w:r>
    </w:p>
    <w:p>
      <w:pPr>
        <w:jc w:val="center"/>
      </w:pPr>
      <w:r>
        <w:rPr>
          <w:rFonts w:ascii="Times New Roman" w:hAnsi="Times New Roman"/>
          <w:b w:val="0"/>
          <w:i/>
          <w:color w:val="C00000"/>
          <w:sz w:val="28"/>
        </w:rPr>
        <w:t>[ВСТАВЬТЕ СЮДА СКРИНШОТ С РАСПОЗНАННЫМ ЗНАКОМ]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Рисунок Г.3 — Топ-5 предсказаний с гистограммой вероятностей</w:t>
      </w:r>
    </w:p>
    <w:p>
      <w:pPr>
        <w:jc w:val="center"/>
      </w:pPr>
      <w:r>
        <w:rPr>
          <w:rFonts w:ascii="Times New Roman" w:hAnsi="Times New Roman"/>
          <w:b w:val="0"/>
          <w:i/>
          <w:color w:val="C00000"/>
          <w:sz w:val="28"/>
        </w:rPr>
        <w:t>[ВСТАВЬТЕ СЮДА СКРИНШОТ С ГИСТОГРАММОЙ]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Рисунок Г.4 — Режим пакетной обработки изображений</w:t>
      </w:r>
    </w:p>
    <w:p>
      <w:pPr>
        <w:jc w:val="center"/>
      </w:pPr>
      <w:r>
        <w:rPr>
          <w:rFonts w:ascii="Times New Roman" w:hAnsi="Times New Roman"/>
          <w:b w:val="0"/>
          <w:i/>
          <w:color w:val="C00000"/>
          <w:sz w:val="28"/>
        </w:rPr>
        <w:t>[ВСТАВЬТЕ СЮДА СКРИНШОТ ПАКЕТНОЙ ОБРАБОТКИ]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Рисунок Г.5 — Пример ошибочного предсказания</w:t>
      </w:r>
    </w:p>
    <w:p>
      <w:pPr>
        <w:jc w:val="center"/>
      </w:pPr>
      <w:r>
        <w:rPr>
          <w:rFonts w:ascii="Times New Roman" w:hAnsi="Times New Roman"/>
          <w:b w:val="0"/>
          <w:i/>
          <w:color w:val="C00000"/>
          <w:sz w:val="28"/>
        </w:rPr>
        <w:t>[ВСТАВЬТЕ СЮДА СКРИНШОТ С ОШИБОЧНЫМ ПРЕДСКАЗАНИЕМ]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Д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Ключевые фрагменты исходного кода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Д.1. Архитектура SimpleCNN (файл train_models.py)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class SimpleCNN(nn.Module):</w:t>
        <w:br/>
        <w:t xml:space="preserve">    def __init__(self, num_classes=NUM_CLASSES):</w:t>
        <w:br/>
        <w:t xml:space="preserve">        super().__init__()</w:t>
        <w:br/>
        <w:t xml:space="preserve">        self.features = nn.Sequential(</w:t>
        <w:br/>
        <w:t xml:space="preserve">            nn.Conv2d(3, 32, 3, padding=1),</w:t>
        <w:br/>
        <w:t xml:space="preserve">            nn.ReLU(),</w:t>
        <w:br/>
        <w:t xml:space="preserve">            nn.MaxPool2d(2),</w:t>
        <w:br/>
        <w:t xml:space="preserve">            nn.Conv2d(32, 64, 3, padding=1),</w:t>
        <w:br/>
        <w:t xml:space="preserve">            nn.ReLU(),</w:t>
        <w:br/>
        <w:t xml:space="preserve">            nn.MaxPool2d(2),</w:t>
        <w:br/>
        <w:t xml:space="preserve">            nn.Conv2d(64, 128, 3, padding=1),</w:t>
        <w:br/>
        <w:t xml:space="preserve">            nn.ReLU(),</w:t>
        <w:br/>
        <w:t xml:space="preserve">            nn.MaxPool2d(2),</w:t>
        <w:br/>
        <w:t xml:space="preserve">        )</w:t>
        <w:br/>
        <w:t xml:space="preserve">        self.classifier = nn.Sequential(</w:t>
        <w:br/>
        <w:t xml:space="preserve">            nn.Flatten(),</w:t>
        <w:br/>
        <w:t xml:space="preserve">            nn.Linear(128 * 8 * 8, 256),</w:t>
        <w:br/>
        <w:t xml:space="preserve">            nn.ReLU(),</w:t>
        <w:br/>
        <w:t xml:space="preserve">            nn.Dropout(0.5),</w:t>
        <w:br/>
        <w:t xml:space="preserve">            nn.Linear(256, num_classes)</w:t>
        <w:br/>
        <w:t xml:space="preserve">        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Д.2. Функция обучения одной эпохи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def train_one_epoch(model, loader, criterion, optimizer):</w:t>
        <w:br/>
        <w:t xml:space="preserve">    model.train()</w:t>
        <w:br/>
        <w:t xml:space="preserve">    total_loss, correct, total = 0, 0, 0</w:t>
        <w:br/>
        <w:t xml:space="preserve">    for imgs, labels in tqdm(loader, desc="Train"):</w:t>
        <w:br/>
        <w:t xml:space="preserve">        imgs, labels = imgs.to(DEVICE), labels.to(DEVICE)</w:t>
        <w:br/>
        <w:t xml:space="preserve">        optimizer.zero_grad()</w:t>
        <w:br/>
        <w:t xml:space="preserve">        out = model(imgs)</w:t>
        <w:br/>
        <w:t xml:space="preserve">        loss = criterion(out, labels)</w:t>
        <w:br/>
        <w:t xml:space="preserve">        loss.backward()</w:t>
        <w:br/>
        <w:t xml:space="preserve">        optimizer.step()</w:t>
        <w:br/>
        <w:t xml:space="preserve">        total_loss += loss.item() * imgs.size(0)</w:t>
        <w:br/>
        <w:t xml:space="preserve">        _, pred = out.max(1)</w:t>
        <w:br/>
        <w:t xml:space="preserve">        correct += (pred == labels).sum().item()</w:t>
        <w:br/>
        <w:t xml:space="preserve">        total += labels.size(0)</w:t>
        <w:br/>
        <w:t xml:space="preserve">    return total_loss/total, correct/total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Д.3. Аугментация данных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train_tf = transforms.Compose([</w:t>
        <w:br/>
        <w:t xml:space="preserve">    transforms.Resize((IMG_SIZE, IMG_SIZE)),</w:t>
        <w:br/>
        <w:t xml:space="preserve">    transforms.RandomRotation(10),</w:t>
        <w:br/>
        <w:t xml:space="preserve">    transforms.ColorJitter(brightness=0.3, contrast=0.3),</w:t>
        <w:br/>
        <w:t xml:space="preserve">    transforms.RandomAffine(0, translate=(0.1, 0.1)),</w:t>
        <w:br/>
        <w:t xml:space="preserve">    transforms.ToTensor(),</w:t>
        <w:br/>
        <w:t xml:space="preserve">    transforms.Normalize(</w:t>
        <w:br/>
        <w:t xml:space="preserve">        [0.485, 0.456, 0.406],</w:t>
        <w:br/>
        <w:t xml:space="preserve">        [0.229, 0.224, 0.225]</w:t>
        <w:br/>
        <w:t xml:space="preserve">    )</w:t>
        <w:br/>
        <w:t>])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Д.4. Предсказание в демо-приложении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def predict(model, img):</w:t>
        <w:br/>
        <w:t xml:space="preserve">    x = transform(img).unsqueeze(0).to(DEVICE)</w:t>
        <w:br/>
        <w:t xml:space="preserve">    start = time.time()</w:t>
        <w:br/>
        <w:t xml:space="preserve">    with torch.no_grad():</w:t>
        <w:br/>
        <w:t xml:space="preserve">        out = model(x)</w:t>
        <w:br/>
        <w:t xml:space="preserve">        probs = F.softmax(out, dim=1)[0]</w:t>
        <w:br/>
        <w:t xml:space="preserve">    elapsed_ms = (time.time() - start) * 1000</w:t>
        <w:br/>
        <w:t xml:space="preserve">    return probs.cpu().numpy(), elapsed_ms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Д.5. Dockerfile (фрагмент)</w:t>
      </w:r>
    </w:p>
    <w:p>
      <w:pPr>
        <w:spacing w:before="80" w:after="80"/>
        <w:ind w:firstLine="0" w:left="567"/>
        <w:shd w:val="clear" w:color="auto" w:fill="F2F2F2"/>
      </w:pPr>
      <w:r>
        <w:rPr>
          <w:rFonts w:ascii="Consolas" w:hAnsi="Consolas"/>
          <w:sz w:val="22"/>
        </w:rPr>
        <w:t>FROM python:3.11-slim</w:t>
        <w:br/>
        <w:t>WORKDIR /app</w:t>
        <w:br/>
        <w:t>RUN apt-get update &amp;&amp; apt-get install -y libgl1 libglib2.0-0</w:t>
        <w:br/>
        <w:t>COPY requirements.txt .</w:t>
        <w:br/>
        <w:t>RUN pip install torch torchvision \</w:t>
        <w:br/>
        <w:t xml:space="preserve">    --index-url https://download.pytorch.org/whl/cpu</w:t>
        <w:br/>
        <w:t>RUN pip install -r requirements.txt</w:t>
        <w:br/>
        <w:t>COPY . .</w:t>
        <w:br/>
        <w:t>EXPOSE 8501</w:t>
        <w:br/>
        <w:t>CMD ["streamlit", "run", "demo_app.py", \</w:t>
        <w:br/>
        <w:t xml:space="preserve">     "--server.address=0.0.0.0"]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