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84C78"/>
          <w:sz w:val="44"/>
        </w:rPr>
        <w:t>دليل المستخدم والتدريب الميداني</w:t>
        <w:br/>
        <w:t>نظام إدارة فواتير ومستخلصات المقاولات</w:t>
      </w:r>
    </w:p>
    <w:p>
      <w:pPr>
        <w:jc w:val="right"/>
      </w:pPr>
      <w:r>
        <w:rPr>
          <w:rFonts w:ascii="Calibri" w:hAnsi="Calibri"/>
          <w:color w:val="6E6E6E"/>
          <w:sz w:val="24"/>
        </w:rPr>
        <w:t>Construction Billing &amp; Account Management - Odoo 18 Community</w:t>
        <w:br/>
        <w:t>Horizonz ERP Solutions</w:t>
      </w:r>
    </w:p>
    <w:p>
      <w:pPr>
        <w:spacing w:after="28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1. نظرة عامة والهدف من النظام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تم تصميم هذا النظام المخصص ليلبي الاحتياجات المحاسبية والتشغيلية الدقيقة لشركات المقاولات والإنشاءات، متجاوزاً أسلوب الفوترة التقليدي عبر إدارة الدورة التعاقدية الكاملة: من توقيع العقد، وإصدار مستخلصات الإنجاز الدورية، وحسم ضمان الأعمال، واستلام الدفعات، وحتى التسليم النهائي وفك حجز الضمان.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بيانات العملاء (Clients &amp; Employers):</w:t>
      </w:r>
      <w:r>
        <w:rPr>
          <w:rFonts w:ascii="Arial" w:hAnsi="Arial"/>
          <w:sz w:val="21"/>
        </w:rPr>
        <w:t xml:space="preserve"> إدارة المطورين وأصحاب العمل وتحديد السقف الائتماني المعتمد لكل عميل.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مشاريع ومواقع المقاولات (Projects &amp; Sites):</w:t>
      </w:r>
      <w:r>
        <w:rPr>
          <w:rFonts w:ascii="Arial" w:hAnsi="Arial"/>
          <w:sz w:val="21"/>
        </w:rPr>
        <w:t xml:space="preserve"> متابعة عقود المواقع، نسب الإنجاز، ونسب الاستقطاع التعاقدية مع ربط الحسابات التحليلية.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المستخلصات الدورية (Progress Claims):</w:t>
      </w:r>
      <w:r>
        <w:rPr>
          <w:rFonts w:ascii="Arial" w:hAnsi="Arial"/>
          <w:sz w:val="21"/>
        </w:rPr>
        <w:t xml:space="preserve"> ربط المطالبات بشهادات استشاري المشروع وحسم التأمين تلقائياً.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سندات القبض (Customer Receipts):</w:t>
      </w:r>
      <w:r>
        <w:rPr>
          <w:rFonts w:ascii="Arial" w:hAnsi="Arial"/>
          <w:sz w:val="21"/>
        </w:rPr>
        <w:t xml:space="preserve"> تخصيص المقبوضات حسب المشروع وطبيعة الدفعة.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متابعة الديون وأعمار الذمم (Due &amp; Overdue):</w:t>
      </w:r>
      <w:r>
        <w:rPr>
          <w:rFonts w:ascii="Arial" w:hAnsi="Arial"/>
          <w:sz w:val="21"/>
        </w:rPr>
        <w:t xml:space="preserve"> كشف فوري للذمم المفتوحة وحساب عدد أيام التأخير تلقائياً.</w:t>
      </w: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2. هيكل القوائم وشاشات الوصول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يظهر تطبيق Construction Billing في القائمة الرئيسية للنظام ويتضمن 5 شاشات تشغيلية: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Projects &amp; Sites (المشاريع والمواقع):</w:t>
      </w:r>
      <w:r>
        <w:rPr>
          <w:rFonts w:ascii="Arial" w:hAnsi="Arial"/>
          <w:sz w:val="21"/>
        </w:rPr>
        <w:t xml:space="preserve"> شاشة إدارة العقود والمواقع الإنشائية وحالات التنفيذ والأداء المالي.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Clients &amp; Employers (العملاء وأصحاب العمل):</w:t>
      </w:r>
      <w:r>
        <w:rPr>
          <w:rFonts w:ascii="Arial" w:hAnsi="Arial"/>
          <w:sz w:val="21"/>
        </w:rPr>
        <w:t xml:space="preserve"> شاشة العملاء وأصحاب العمل والمؤشرات المالية اللحظية.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Invoices &amp; Claims (الفواتير والمستخلصات):</w:t>
      </w:r>
      <w:r>
        <w:rPr>
          <w:rFonts w:ascii="Arial" w:hAnsi="Arial"/>
          <w:sz w:val="21"/>
        </w:rPr>
        <w:t xml:space="preserve"> شاشة إصدار مستخلصات الدفعات والإنجاز واعتمادها.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Customer Receipts (سندات القبض):</w:t>
      </w:r>
      <w:r>
        <w:rPr>
          <w:rFonts w:ascii="Arial" w:hAnsi="Arial"/>
          <w:sz w:val="21"/>
        </w:rPr>
        <w:t xml:space="preserve"> شاشة تسجيل سندات القبض وربطها بالمواقع الإنشائية.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Due &amp; Overdue Amounts (المبالغ المستحقة والمتأخرة):</w:t>
      </w:r>
      <w:r>
        <w:rPr>
          <w:rFonts w:ascii="Arial" w:hAnsi="Arial"/>
          <w:sz w:val="21"/>
        </w:rPr>
        <w:t xml:space="preserve"> شاشة متابعة الذمم المتبقية وأيام التأخير لكل مطالبة.</w:t>
      </w: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3. إدارة العملاء وأصحاب العمل (Clients &amp; Employers)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عند فتح بطاقة العميل وتفعيل خيار Is Construction Client، تتاح الحقول والمؤشرات التالية: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تصنيف العميل:</w:t>
      </w:r>
      <w:r>
        <w:rPr>
          <w:rFonts w:ascii="Arial" w:hAnsi="Arial"/>
          <w:sz w:val="21"/>
        </w:rPr>
        <w:t xml:space="preserve"> تصنيف نوع العلاقة: Developer / Employer (مطور)، Main Contractor (مقاول رئيسي)، Subcontractor (مقاول باطن).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السجل والترخيص:</w:t>
      </w:r>
      <w:r>
        <w:rPr>
          <w:rFonts w:ascii="Arial" w:hAnsi="Arial"/>
          <w:sz w:val="21"/>
        </w:rPr>
        <w:t xml:space="preserve"> تدوين رقم السجل التجاري ورخصة المقاولات المعتمدة.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الحد الائتماني (Credit Limit):</w:t>
      </w:r>
      <w:r>
        <w:rPr>
          <w:rFonts w:ascii="Arial" w:hAnsi="Arial"/>
          <w:sz w:val="21"/>
        </w:rPr>
        <w:t xml:space="preserve"> وضع سقف ائتماني محدد يتم بناءً عليه مراقبة الذمم المفتوحة للعميل.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المؤشرات اللحظية (Smart Stats):</w:t>
      </w:r>
      <w:r>
        <w:rPr>
          <w:rFonts w:ascii="Arial" w:hAnsi="Arial"/>
          <w:sz w:val="21"/>
        </w:rPr>
        <w:t xml:space="preserve"> عدادات ذكية في أعلى الشاشة تبين: عدد المواقع الجارية، إجمالي المبالغ المفوترة، وإجمالي المبالغ المستحقة باللون الأحمر للتنبيه الفوري.</w:t>
      </w: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4. إدارة العقود والمشاريع الإنشائية (Projects &amp; Sites)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تمثل بطاقة المشروع العقد الإنشائي المبرم مع العميل، وتتضمن البيانات التشغيلية والمالية: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بيانات العقد:</w:t>
      </w:r>
      <w:r>
        <w:rPr>
          <w:rFonts w:ascii="Arial" w:hAnsi="Arial"/>
          <w:sz w:val="21"/>
        </w:rPr>
        <w:t xml:space="preserve"> اسم المشروع وكود تسلسلي رسمي يتم توليده آلياً (مثل PRJ/2026/0001).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قيمة العقد والجدول الزمني:</w:t>
      </w:r>
      <w:r>
        <w:rPr>
          <w:rFonts w:ascii="Arial" w:hAnsi="Arial"/>
          <w:sz w:val="21"/>
        </w:rPr>
        <w:t xml:space="preserve"> القيمة الإجمالية للعقد المبرم وتاريخ البدء والانتهاء المخطط.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مركز التكلفة (Analytic Account):</w:t>
      </w:r>
      <w:r>
        <w:rPr>
          <w:rFonts w:ascii="Arial" w:hAnsi="Arial"/>
          <w:sz w:val="21"/>
        </w:rPr>
        <w:t xml:space="preserve"> ربط المشروع بمركز التكلفة التحليلي لترحيل إيرادات ومصاريف الموقع.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نسبة محتجز الضمان (Retention %):</w:t>
      </w:r>
      <w:r>
        <w:rPr>
          <w:rFonts w:ascii="Arial" w:hAnsi="Arial"/>
          <w:sz w:val="21"/>
        </w:rPr>
        <w:t xml:space="preserve"> تحديد النسبة التعاقدية لتأمين حسن التنفيذ (مثلاً 5% أو 10%).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مراحل المشروع (Workflow):</w:t>
      </w:r>
      <w:r>
        <w:rPr>
          <w:rFonts w:ascii="Arial" w:hAnsi="Arial"/>
          <w:sz w:val="21"/>
        </w:rPr>
        <w:t xml:space="preserve"> مسار واضح يتضمن: مسودة (Draft) -&gt; قيد التنفيذ (Under Construction) -&gt; تسليم وملاحظات (Handover &amp; Snagging) -&gt; منتهي ومغلق (Completed &amp; Closed).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54360"/>
              </w:rPr>
              <w:t xml:space="preserve">📌 حسابات المشروع الآلية: </w:t>
            </w:r>
            <w:r>
              <w:rPr>
                <w:rFonts w:ascii="Arial" w:hAnsi="Arial"/>
                <w:sz w:val="21"/>
              </w:rPr>
              <w:t>يقوم النظام تلقائياً بجمع كافة المستخلصات المعتمدة على المشروع، واحتساب إجمالي المفوتر، إجمالي المحصل، الرصيد المتبقي المستحق، وإجمالي مبالغ الضمان المحتجزة بدون أي عمليات حسابية يدوية.</w:t>
            </w:r>
          </w:p>
        </w:tc>
      </w:tr>
    </w:tbl>
    <w:p>
      <w:pPr>
        <w:spacing w:after="120"/>
      </w:pP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5. فوترة المستخلصات الإنشائية (Invoices &amp; Progress Claims)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لإصدار مستخلص أعمال ومطالبة مالية جديدة، يتم اتباع الإجراءات التالية: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1. تحديد المشروع:</w:t>
      </w:r>
      <w:r>
        <w:rPr>
          <w:rFonts w:ascii="Arial" w:hAnsi="Arial"/>
          <w:sz w:val="21"/>
        </w:rPr>
        <w:t xml:space="preserve"> إنشاء فاتورة وتفعيل خيار Is Construction Bill واختيار المشروع؛ حيث يقوم النظام بجلب العميل ونسبة الضمان آلياً.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2. نوع المطالبة:</w:t>
      </w:r>
      <w:r>
        <w:rPr>
          <w:rFonts w:ascii="Arial" w:hAnsi="Arial"/>
          <w:sz w:val="21"/>
        </w:rPr>
        <w:t xml:space="preserve"> اختيار نوع المطالبة (دفعة مقدمة Mobilization Advance، مستخلص إنجاز دوري Progress Milestone، إفراج عن ضمان Retention Release، مستخلص ختامي Final Claim).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3. اعتماد الإنجاز:</w:t>
      </w:r>
      <w:r>
        <w:rPr>
          <w:rFonts w:ascii="Arial" w:hAnsi="Arial"/>
          <w:sz w:val="21"/>
        </w:rPr>
        <w:t xml:space="preserve"> تسجيل رقم شهادة إنجاز الأعمال (WCC No) ونسبة الإنجاز المعتمدة من الاستشاري المشرف.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4. احتساب الضمان والصافي:</w:t>
      </w:r>
      <w:r>
        <w:rPr>
          <w:rFonts w:ascii="Arial" w:hAnsi="Arial"/>
          <w:sz w:val="21"/>
        </w:rPr>
        <w:t xml:space="preserve"> يقوم النظام بضرب النسبة في صافي المبلغ قبل الضريبة وطرح مبلغ التأمين تلقائياً من الإجمالي لاستخراج صافي المطالبة المستحقة (Net Payable Claim).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5. الاعتماد والترحيل:</w:t>
      </w:r>
      <w:r>
        <w:rPr>
          <w:rFonts w:ascii="Arial" w:hAnsi="Arial"/>
          <w:sz w:val="21"/>
        </w:rPr>
        <w:t xml:space="preserve"> عند الضغط على Confirm، ترحل الفاتورة محاسبياً ويتم تحديث رصيد المشروع ورصيد العميل فوراً.</w:t>
      </w: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6. سندات التحصيل والدفعات (Customer Receipts)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عند استلام دفعات مالية من العميل: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1. إنشاء السند:</w:t>
      </w:r>
      <w:r>
        <w:rPr>
          <w:rFonts w:ascii="Arial" w:hAnsi="Arial"/>
          <w:sz w:val="21"/>
        </w:rPr>
        <w:t xml:space="preserve"> تسجيل سند القبض وتحديد البنك أو الصندوق المستلم للمبلغ.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2. ربط الموقع:</w:t>
      </w:r>
      <w:r>
        <w:rPr>
          <w:rFonts w:ascii="Arial" w:hAnsi="Arial"/>
          <w:sz w:val="21"/>
        </w:rPr>
        <w:t xml:space="preserve"> ربط السند بـ Construction Project المخصص لضمان خصم التحصيل من رصيد الموقع المعني.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3. طبيعة الدفعة:</w:t>
      </w:r>
      <w:r>
        <w:rPr>
          <w:rFonts w:ascii="Arial" w:hAnsi="Arial"/>
          <w:sz w:val="21"/>
        </w:rPr>
        <w:t xml:space="preserve"> تحديد طبيعة الدفعة (Normal Payment أو Mobilization Advance أو Retention Guarantee Release).</w:t>
      </w:r>
    </w:p>
    <w:p>
      <w:pPr>
        <w:spacing w:after="60"/>
        <w:ind w:right="288"/>
        <w:jc w:val="right"/>
      </w:pPr>
      <w:r>
        <w:rPr>
          <w:b/>
          <w:color w:val="2980B9"/>
        </w:rPr>
        <w:t xml:space="preserve">•  </w:t>
      </w:r>
      <w:r>
        <w:rPr>
          <w:rFonts w:ascii="Arial" w:hAnsi="Arial"/>
          <w:b/>
        </w:rPr>
        <w:t>4. التسوية:</w:t>
      </w:r>
      <w:r>
        <w:rPr>
          <w:rFonts w:ascii="Arial" w:hAnsi="Arial"/>
          <w:sz w:val="21"/>
        </w:rPr>
        <w:t xml:space="preserve"> إجراء مطابقة الدفعة (Payment Matching) مع المستخلص المفتوح ليتم تحديث رصيد الفاتورة المتبقي ورصيد المشروع التراكمي.</w:t>
      </w: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7. سيناريو تطبيقي عملي شامل (Practical Tutorial)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يوضح الجدول التالي خطوات دورة عمل متكاملة لمشروع تطبيقي: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  <w:shd w:fill="1F61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</w:rPr>
              <w:t>النتيجة المحاسبية والتشغيلية</w:t>
            </w:r>
          </w:p>
        </w:tc>
        <w:tc>
          <w:tcPr>
            <w:tcW w:type="dxa" w:w="3888"/>
            <w:shd w:fill="1F61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</w:rPr>
              <w:t>الإجراء المطلوب في النظام</w:t>
            </w:r>
          </w:p>
        </w:tc>
        <w:tc>
          <w:tcPr>
            <w:tcW w:type="dxa" w:w="1872"/>
            <w:shd w:fill="1F618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</w:rPr>
              <w:t>المرحلة</w:t>
            </w:r>
          </w:p>
        </w:tc>
      </w:tr>
      <w:tr>
        <w:tc>
          <w:tcPr>
            <w:tcW w:type="dxa" w:w="3600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1. تعريف العميل</w:t>
            </w:r>
          </w:p>
        </w:tc>
        <w:tc>
          <w:tcPr>
            <w:tcW w:type="dxa" w:w="3888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إنشاء عميل باسم 'شركة الأفق للتطوير' وتفعيل Is Construction Client مع حد ائتماني 500,000 ريال.</w:t>
            </w:r>
          </w:p>
        </w:tc>
        <w:tc>
          <w:tcPr>
            <w:tcW w:type="dxa" w:w="1872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ملف عميل جاهز بعدادات مالية فارغة ومراقبة للحد الائتماني.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2. توقيع العقد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إنشاء مشروع 'برج النور التجاري' بقيمة 200,000 ريال ونسبة ضمان 10% ونقل الحالة إلى Start Construction.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توليد كود PRJ/2026/0001 وحالة قيد التنفيذ مع رصيد مستحق 0 ريال.</w:t>
            </w:r>
          </w:p>
        </w:tc>
      </w:tr>
      <w:tr>
        <w:tc>
          <w:tcPr>
            <w:tcW w:type="dxa" w:w="3600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3. المستخلص الأول</w:t>
            </w:r>
          </w:p>
        </w:tc>
        <w:tc>
          <w:tcPr>
            <w:tcW w:type="dxa" w:w="3888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إنشاء مستخلص بقيمة 50,000 ريال ونوع Progress Milestone وإدخال شهادة WCC-01 ونسبة إنجاز 25%.</w:t>
            </w:r>
          </w:p>
        </w:tc>
        <w:tc>
          <w:tcPr>
            <w:tcW w:type="dxa" w:w="1872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احتساب ضمان 5,000 ريال آلياً، وزيادة المفوتر إلى 50,000 ريال والمستحق إلى 50,000 ريال.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4. تحصيل دفعة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تسجيل سند قبض بقيمة 30,000 ريال مع ربطه بالمشروع وتسويته مع المستخلص المفتوح.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انخفاض رصيد المشروع المستحق إلى 20,000 ريال وزيادة المحصل إلى 30,000 ريال.</w:t>
            </w:r>
          </w:p>
        </w:tc>
      </w:tr>
      <w:tr>
        <w:tc>
          <w:tcPr>
            <w:tcW w:type="dxa" w:w="3600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5. الرقابة والديون</w:t>
            </w:r>
          </w:p>
        </w:tc>
        <w:tc>
          <w:tcPr>
            <w:tcW w:type="dxa" w:w="3888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فتح شاشة Due &amp; Overdue Amounts واستعراض المطالبات المتبقية.</w:t>
            </w:r>
          </w:p>
        </w:tc>
        <w:tc>
          <w:tcPr>
            <w:tcW w:type="dxa" w:w="1872"/>
            <w:shd w:fill="F8F9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ظهور المستخلص برصيد 20,000 ريال مع عداد الأيام المتأخرة Days Overdue.</w:t>
            </w:r>
          </w:p>
        </w:tc>
      </w:tr>
    </w:tbl>
    <w:p>
      <w:pPr>
        <w:spacing w:after="200"/>
      </w:pPr>
    </w:p>
    <w:p>
      <w:pPr>
        <w:spacing w:before="320" w:after="120"/>
        <w:jc w:val="right"/>
      </w:pPr>
      <w:r>
        <w:rPr>
          <w:rFonts w:ascii="Arial" w:hAnsi="Arial"/>
          <w:b/>
          <w:color w:val="184C78"/>
          <w:sz w:val="32"/>
        </w:rPr>
        <w:t>8. إرشادات ختامية ودعم المستخدم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• يُنصح بمراجعة شاشة Due &amp; Overdue Amounts أسبوعياً لمتابعة تحصيل المطالبات وتفادي تجاوز فترات الائتمان المتفق عليها.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• عند اكتمال المشروع، يتم إصدار مستخلص بنوع Retention Release أو تسجيل سند قبض بنوع Retention Guarantee Release لإغلاق محتجز الضمان.</w:t>
      </w:r>
    </w:p>
    <w:p>
      <w:pPr>
        <w:spacing w:after="80" w:line="288" w:lineRule="auto"/>
        <w:jc w:val="right"/>
      </w:pPr>
      <w:r>
        <w:rPr>
          <w:rFonts w:ascii="Arial" w:hAnsi="Arial"/>
          <w:i w:val="0"/>
          <w:sz w:val="22"/>
        </w:rPr>
        <w:t>• يمكن طباعة كشوف حسابات العملاء ومستخلصات المشاريع ومشاركتها مع أصحاب العمل واستشاريي المشاريع بشكل دوري.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