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600" w:after="120"/>
        <w:jc w:val="center"/>
      </w:pPr>
      <w:r>
        <w:rPr>
          <w:color w:val="7F8C8D"/>
          <w:sz w:val="20"/>
        </w:rPr>
        <w:t>المملكة العربية السعودية | Horizonz Cloud | Odoo 18 Enterprise / Community</w:t>
        <w:br/>
      </w:r>
      <w:r>
        <w:rPr>
          <w:b/>
          <w:color w:val="0F4C81"/>
          <w:sz w:val="52"/>
        </w:rPr>
        <w:t>دليل المستخدم والتدريب التشغيلي الشامل</w:t>
        <w:br/>
      </w:r>
      <w:r>
        <w:rPr>
          <w:b/>
          <w:color w:val="2C3E50"/>
          <w:sz w:val="36"/>
        </w:rPr>
        <w:t>نظام إدارة تصنيع البلاط والمنتجات الأسمنتية</w:t>
        <w:br/>
      </w:r>
      <w:r>
        <w:rPr>
          <w:color w:val="16A085"/>
          <w:sz w:val="24"/>
        </w:rPr>
        <w:t>Horizonz Tiles &amp; Concrete Manufacturing (mrp_tile_manufacturing)</w:t>
        <w:br/>
      </w:r>
    </w:p>
    <w:p>
      <w:pPr>
        <w:bidi w:val="1"/>
        <w:spacing w:after="480"/>
        <w:jc w:val="center"/>
      </w:pPr>
      <w:r>
        <w:rPr>
          <w:color w:val="BDC3C7"/>
        </w:rPr>
        <w:t>━━━━━━━━━━━━━━━━━━━━━━━━━━━━━━━━━━━━━━━━━━━━━━━━━━━━</w:t>
      </w:r>
    </w:p>
    <w:tbl>
      <w:tblPr>
        <w:tblW w:type="auto" w:w="0"/>
        <w:jc w:val="center"/>
        <w:tblLook w:firstColumn="1" w:firstRow="1" w:lastColumn="0" w:lastRow="0" w:noHBand="0" w:noVBand="1" w:val="04A0"/>
        <w:bidiVisual/>
      </w:tblPr>
      <w:tblGrid>
        <w:gridCol w:w="4968"/>
        <w:gridCol w:w="4968"/>
      </w:tblGrid>
      <w:tr>
        <w:tc>
          <w:tcPr>
            <w:tcW w:type="dxa" w:w="4968"/>
            <w:shd w:fill="F8F9FA"/>
            <w:tcMar>
              <w:top w:w="80" w:type="dxa"/>
              <w:bottom w:w="80" w:type="dxa"/>
              <w:left w:w="120" w:type="dxa"/>
              <w:right w:w="120" w:type="dxa"/>
            </w:tcMar>
          </w:tcPr>
          <w:p>
            <w:pPr>
              <w:bidi w:val="1"/>
              <w:jc w:val="right"/>
            </w:pPr>
            <w:r>
              <w:rPr>
                <w:b/>
                <w:color w:val="0F4C81"/>
                <w:sz w:val="19"/>
              </w:rPr>
              <w:t xml:space="preserve">تاريخ الإصدار: </w:t>
            </w:r>
            <w:r>
              <w:rPr>
                <w:color w:val="2C3E50"/>
                <w:sz w:val="19"/>
              </w:rPr>
              <w:t xml:space="preserve"> 14 أكتوبر 2026</w:t>
            </w:r>
          </w:p>
        </w:tc>
        <w:tc>
          <w:tcPr>
            <w:tcW w:type="dxa" w:w="4968"/>
            <w:shd w:fill="F8F9FA"/>
            <w:tcMar>
              <w:top w:w="80" w:type="dxa"/>
              <w:bottom w:w="80" w:type="dxa"/>
              <w:left w:w="120" w:type="dxa"/>
              <w:right w:w="120" w:type="dxa"/>
            </w:tcMar>
          </w:tcPr>
          <w:p>
            <w:pPr>
              <w:bidi w:val="1"/>
              <w:jc w:val="right"/>
            </w:pPr>
            <w:r>
              <w:rPr>
                <w:b/>
                <w:color w:val="0F4C81"/>
                <w:sz w:val="19"/>
              </w:rPr>
              <w:t xml:space="preserve">الإصدار المعتمد: </w:t>
            </w:r>
            <w:r>
              <w:rPr>
                <w:color w:val="2C3E50"/>
                <w:sz w:val="19"/>
              </w:rPr>
              <w:t xml:space="preserve"> Version 18.0.1.0</w:t>
            </w:r>
          </w:p>
        </w:tc>
      </w:tr>
      <w:tr>
        <w:tc>
          <w:tcPr>
            <w:tcW w:type="dxa" w:w="4968"/>
            <w:shd w:fill="F8F9FA"/>
            <w:tcMar>
              <w:top w:w="80" w:type="dxa"/>
              <w:bottom w:w="80" w:type="dxa"/>
              <w:left w:w="120" w:type="dxa"/>
              <w:right w:w="120" w:type="dxa"/>
            </w:tcMar>
          </w:tcPr>
          <w:p>
            <w:pPr>
              <w:bidi w:val="1"/>
              <w:jc w:val="right"/>
            </w:pPr>
            <w:r>
              <w:rPr>
                <w:b/>
                <w:color w:val="0F4C81"/>
                <w:sz w:val="19"/>
              </w:rPr>
              <w:t xml:space="preserve">الفئة المستهدفة: </w:t>
            </w:r>
            <w:r>
              <w:rPr>
                <w:color w:val="2C3E50"/>
                <w:sz w:val="19"/>
              </w:rPr>
              <w:t xml:space="preserve"> مشرفو الورديات، مدراء المصانع، فنيو التشغيل والجودة</w:t>
            </w:r>
          </w:p>
        </w:tc>
        <w:tc>
          <w:tcPr>
            <w:tcW w:type="dxa" w:w="4968"/>
            <w:shd w:fill="F8F9FA"/>
            <w:tcMar>
              <w:top w:w="80" w:type="dxa"/>
              <w:bottom w:w="80" w:type="dxa"/>
              <w:left w:w="120" w:type="dxa"/>
              <w:right w:w="120" w:type="dxa"/>
            </w:tcMar>
          </w:tcPr>
          <w:p>
            <w:pPr>
              <w:bidi w:val="1"/>
              <w:jc w:val="right"/>
            </w:pPr>
            <w:r>
              <w:rPr>
                <w:b/>
                <w:color w:val="0F4C81"/>
                <w:sz w:val="19"/>
              </w:rPr>
              <w:t xml:space="preserve">حالة الاعتماد: </w:t>
            </w:r>
            <w:r>
              <w:rPr>
                <w:color w:val="2C3E50"/>
                <w:sz w:val="19"/>
              </w:rPr>
              <w:t xml:space="preserve"> معتمد ومثبت على بيئة الإنتاج</w:t>
            </w:r>
          </w:p>
        </w:tc>
      </w:tr>
    </w:tbl>
    <w:p>
      <w:r>
        <w:br w:type="page"/>
      </w:r>
    </w:p>
    <w:p>
      <w:pPr>
        <w:keepNext/>
        <w:bidi w:val="1"/>
        <w:spacing w:before="360" w:after="160"/>
        <w:jc w:val="right"/>
      </w:pPr>
      <w:r>
        <w:rPr>
          <w:b/>
          <w:color w:val="0F4C81"/>
          <w:sz w:val="36"/>
        </w:rPr>
        <w:t>1. مقدمة عامة ورؤية النظام</w:t>
      </w:r>
    </w:p>
    <w:p>
      <w:pPr>
        <w:bidi w:val="1"/>
        <w:spacing w:after="120" w:line="276" w:lineRule="auto"/>
        <w:jc w:val="right"/>
      </w:pPr>
      <w:r>
        <w:rPr>
          <w:b w:val="0"/>
        </w:rPr>
        <w:t>تم تصميم وتطوير وحدة mrp_tile_manufacturing خصيصاً كحل صناعي احترافي على نظام Odoo 18، لتغطية الدورة التشغيلية الدقيقة لمصانع البلاط الآلي (بلدي، كسر رخام، موزايكو)، الإنترلوك، البردورات، والبلك الأسمنتي.</w:t>
      </w:r>
    </w:p>
    <w:p>
      <w:pPr>
        <w:bidi w:val="1"/>
        <w:spacing w:after="120" w:line="276" w:lineRule="auto"/>
        <w:jc w:val="right"/>
      </w:pPr>
      <w:r>
        <w:rPr>
          <w:b w:val="0"/>
        </w:rPr>
        <w:t>يهدف النظام إلى أتمتة وضبط خطوط الإنتاج الثقيلة (مكابس أوشم OCEM الإيطالية، ماكينات ماسا MASA الألمانية، وخطوط هيراندو HERANDO)، مع توفير ربط لحظي متكامل بين مخرجات الكبس، مخرجات الجلايات مع التصنيف الخماسي للجودة، الرقابة الآلية على الهالك، وتوثيق سجل التوقفات والأعطال عبر 187 سبباً معتمداً وتحويلها الفوري لطلبات صيانة رسمية.</w:t>
      </w:r>
    </w:p>
    <w:p>
      <w:pPr>
        <w:keepNext/>
        <w:bidi w:val="1"/>
        <w:spacing w:before="280" w:after="120"/>
        <w:jc w:val="right"/>
      </w:pPr>
      <w:r>
        <w:rPr>
          <w:b/>
          <w:color w:val="2C3E50"/>
          <w:sz w:val="28"/>
        </w:rPr>
        <w:t>الأهداف الاستراتيجية للنظام:</w:t>
      </w:r>
    </w:p>
    <w:p>
      <w:pPr>
        <w:pStyle w:val="ListBullet"/>
        <w:bidi w:val="1"/>
        <w:spacing w:after="60" w:line="276" w:lineRule="auto"/>
        <w:jc w:val="right"/>
      </w:pPr>
      <w:r>
        <w:t>الربط الهيكلي بين الصالات والعنابر (16 عنبر) ومراكز العمل والماكينات (30 خط إنتاج).</w:t>
      </w:r>
    </w:p>
    <w:p>
      <w:pPr>
        <w:pStyle w:val="ListBullet"/>
        <w:bidi w:val="1"/>
        <w:spacing w:after="60" w:line="276" w:lineRule="auto"/>
        <w:jc w:val="right"/>
      </w:pPr>
      <w:r>
        <w:t>مواصفات هندسية فريدة للمنتجات تشمل المقاسات (20×20، 25×25، 30×30، 40×40...) والألوان وعدد البلاطات في المتر المربع.</w:t>
      </w:r>
    </w:p>
    <w:p>
      <w:pPr>
        <w:pStyle w:val="ListBullet"/>
        <w:bidi w:val="1"/>
        <w:spacing w:after="60" w:line="276" w:lineRule="auto"/>
        <w:jc w:val="right"/>
      </w:pPr>
      <w:r>
        <w:t>تحديد سعات الشاحنات اللوجستية (حمولة التريلا وحمولة الكرين بالمتر المربع) لدعم سلاسل الإمداد والمبيعات.</w:t>
      </w:r>
    </w:p>
    <w:p>
      <w:pPr>
        <w:pStyle w:val="ListBullet"/>
        <w:bidi w:val="1"/>
        <w:spacing w:after="60" w:line="276" w:lineRule="auto"/>
        <w:jc w:val="right"/>
      </w:pPr>
      <w:r>
        <w:t>نمذجة المعايير القياسية للطاقات (عيون القالب، سرعة الكبس المعيارية بالساعة، سرعة الجلي بالساعة، ساعات التبخير، ونسبة الهالك المسموحة).</w:t>
      </w:r>
    </w:p>
    <w:p>
      <w:pPr>
        <w:pStyle w:val="ListBullet"/>
        <w:bidi w:val="1"/>
        <w:spacing w:after="60" w:line="276" w:lineRule="auto"/>
        <w:jc w:val="right"/>
      </w:pPr>
      <w:r>
        <w:t>إصدار ورقة الوردية اليومية المجمعة (Daily Shift Sheet) مع التحقق الرياضي الصارم لمنع أي تلاعب بمخرجات الجودة.</w:t>
      </w:r>
    </w:p>
    <w:p>
      <w:pPr>
        <w:pStyle w:val="ListBullet"/>
        <w:bidi w:val="1"/>
        <w:spacing w:after="60" w:line="276" w:lineRule="auto"/>
        <w:jc w:val="right"/>
      </w:pPr>
      <w:r>
        <w:t>سجل كامل لـ 187 سبب عطل يربط كل عطل بالجزء المتعطل (الخلاطة، المكبس، الجلاية، الفنجر كار...) وإصدار أوامر صيانة بنقرة واحدة.</w:t>
      </w:r>
    </w:p>
    <w:p>
      <w:pPr>
        <w:keepNext/>
        <w:bidi w:val="1"/>
        <w:spacing w:before="360" w:after="160"/>
        <w:jc w:val="right"/>
      </w:pPr>
      <w:r>
        <w:rPr>
          <w:b/>
          <w:color w:val="0F4C81"/>
          <w:sz w:val="36"/>
        </w:rPr>
        <w:t>2. خريطة القوائم وطريقة التنقل في أودو</w:t>
      </w:r>
    </w:p>
    <w:p>
      <w:pPr>
        <w:bidi w:val="1"/>
        <w:spacing w:after="120" w:line="276" w:lineRule="auto"/>
        <w:jc w:val="right"/>
      </w:pPr>
      <w:r>
        <w:rPr>
          <w:b w:val="0"/>
        </w:rPr>
        <w:t>تظهر جميع وظائف الوحدة منظمة تحت تطبيق التصنيع الرسمي (Manufacturing) داخل قائمة رئيسية مستقلة باسم Tile Production (تصنيع البلاط):</w:t>
      </w:r>
    </w:p>
    <w:tbl>
      <w:tblPr>
        <w:tblW w:type="auto" w:w="0"/>
        <w:jc w:val="center"/>
        <w:tblLook w:firstColumn="1" w:firstRow="1" w:lastColumn="0" w:lastRow="0" w:noHBand="0" w:noVBand="1" w:val="04A0"/>
        <w:bidiVisual/>
      </w:tblPr>
      <w:tblGrid>
        <w:gridCol w:w="3312"/>
        <w:gridCol w:w="3312"/>
        <w:gridCol w:w="3312"/>
      </w:tblGrid>
      <w:tr>
        <w:tc>
          <w:tcPr>
            <w:tcW w:type="dxa" w:w="3312"/>
            <w:shd w:fill="0F4C81"/>
          </w:tcPr>
          <w:p>
            <w:pPr>
              <w:bidi w:val="1"/>
              <w:jc w:val="center"/>
            </w:pPr>
            <w:r>
              <w:rPr>
                <w:b/>
                <w:color w:val="FFFFFF"/>
                <w:sz w:val="20"/>
              </w:rPr>
              <w:t>القائمة الرئيسية / الفرعية</w:t>
            </w:r>
          </w:p>
        </w:tc>
        <w:tc>
          <w:tcPr>
            <w:tcW w:type="dxa" w:w="3312"/>
            <w:shd w:fill="0F4C81"/>
          </w:tcPr>
          <w:p>
            <w:pPr>
              <w:bidi w:val="1"/>
              <w:jc w:val="center"/>
            </w:pPr>
            <w:r>
              <w:rPr>
                <w:b/>
                <w:color w:val="FFFFFF"/>
                <w:sz w:val="20"/>
              </w:rPr>
              <w:t>المسار في أودو</w:t>
            </w:r>
          </w:p>
        </w:tc>
        <w:tc>
          <w:tcPr>
            <w:tcW w:type="dxa" w:w="3312"/>
            <w:shd w:fill="0F4C81"/>
          </w:tcPr>
          <w:p>
            <w:pPr>
              <w:bidi w:val="1"/>
              <w:jc w:val="center"/>
            </w:pPr>
            <w:r>
              <w:rPr>
                <w:b/>
                <w:color w:val="FFFFFF"/>
                <w:sz w:val="20"/>
              </w:rPr>
              <w:t>الوظيفة والهدف</w:t>
            </w:r>
          </w:p>
        </w:tc>
      </w:tr>
      <w:tr>
        <w:tc>
          <w:tcPr>
            <w:tcW w:type="dxa" w:w="3312"/>
            <w:shd w:fill="FFFFFF"/>
            <w:tcMar>
              <w:top w:w="80" w:type="dxa"/>
              <w:bottom w:w="80" w:type="dxa"/>
              <w:left w:w="100" w:type="dxa"/>
              <w:right w:w="100" w:type="dxa"/>
            </w:tcMar>
          </w:tcPr>
          <w:p>
            <w:pPr>
              <w:bidi w:val="1"/>
              <w:jc w:val="center"/>
            </w:pPr>
            <w:r>
              <w:rPr>
                <w:sz w:val="19"/>
              </w:rPr>
              <w:t>أوراق الوردية اليومية</w:t>
              <w:br/>
              <w:t>(Daily Shift Sheets)</w:t>
            </w:r>
          </w:p>
        </w:tc>
        <w:tc>
          <w:tcPr>
            <w:tcW w:type="dxa" w:w="3312"/>
            <w:shd w:fill="FFFFFF"/>
            <w:tcMar>
              <w:top w:w="80" w:type="dxa"/>
              <w:bottom w:w="80" w:type="dxa"/>
              <w:left w:w="100" w:type="dxa"/>
              <w:right w:w="100" w:type="dxa"/>
            </w:tcMar>
          </w:tcPr>
          <w:p>
            <w:pPr>
              <w:bidi w:val="1"/>
              <w:jc w:val="right"/>
            </w:pPr>
            <w:r>
              <w:rPr>
                <w:sz w:val="19"/>
              </w:rPr>
              <w:t>Tile Production -&gt; Operations -&gt; Daily Shift Sheets</w:t>
            </w:r>
          </w:p>
        </w:tc>
        <w:tc>
          <w:tcPr>
            <w:tcW w:type="dxa" w:w="3312"/>
            <w:shd w:fill="FFFFFF"/>
            <w:tcMar>
              <w:top w:w="80" w:type="dxa"/>
              <w:bottom w:w="80" w:type="dxa"/>
              <w:left w:w="100" w:type="dxa"/>
              <w:right w:w="100" w:type="dxa"/>
            </w:tcMar>
          </w:tcPr>
          <w:p>
            <w:pPr>
              <w:bidi w:val="1"/>
              <w:jc w:val="right"/>
            </w:pPr>
            <w:r>
              <w:rPr>
                <w:sz w:val="19"/>
              </w:rPr>
              <w:t>تسجيل مخرجات الكبس والجلي وتوزيع الفرز الخماسي والأعطال اليومية.</w:t>
            </w:r>
          </w:p>
        </w:tc>
      </w:tr>
      <w:tr>
        <w:tc>
          <w:tcPr>
            <w:tcW w:type="dxa" w:w="3312"/>
            <w:shd w:fill="F8F9FA"/>
            <w:tcMar>
              <w:top w:w="80" w:type="dxa"/>
              <w:bottom w:w="80" w:type="dxa"/>
              <w:left w:w="100" w:type="dxa"/>
              <w:right w:w="100" w:type="dxa"/>
            </w:tcMar>
          </w:tcPr>
          <w:p>
            <w:pPr>
              <w:bidi w:val="1"/>
              <w:jc w:val="center"/>
            </w:pPr>
            <w:r>
              <w:rPr>
                <w:sz w:val="19"/>
              </w:rPr>
              <w:t>عنابر وصالات الإنتاج</w:t>
              <w:br/>
              <w:t>(Production Halls)</w:t>
            </w:r>
          </w:p>
        </w:tc>
        <w:tc>
          <w:tcPr>
            <w:tcW w:type="dxa" w:w="3312"/>
            <w:shd w:fill="F8F9FA"/>
            <w:tcMar>
              <w:top w:w="80" w:type="dxa"/>
              <w:bottom w:w="80" w:type="dxa"/>
              <w:left w:w="100" w:type="dxa"/>
              <w:right w:w="100" w:type="dxa"/>
            </w:tcMar>
          </w:tcPr>
          <w:p>
            <w:pPr>
              <w:bidi w:val="1"/>
              <w:jc w:val="right"/>
            </w:pPr>
            <w:r>
              <w:rPr>
                <w:sz w:val="19"/>
              </w:rPr>
              <w:t>Tile Production -&gt; Master Standards -&gt; Production Halls</w:t>
            </w:r>
          </w:p>
        </w:tc>
        <w:tc>
          <w:tcPr>
            <w:tcW w:type="dxa" w:w="3312"/>
            <w:shd w:fill="F8F9FA"/>
            <w:tcMar>
              <w:top w:w="80" w:type="dxa"/>
              <w:bottom w:w="80" w:type="dxa"/>
              <w:left w:w="100" w:type="dxa"/>
              <w:right w:w="100" w:type="dxa"/>
            </w:tcMar>
          </w:tcPr>
          <w:p>
            <w:pPr>
              <w:bidi w:val="1"/>
              <w:jc w:val="right"/>
            </w:pPr>
            <w:r>
              <w:rPr>
                <w:sz w:val="19"/>
              </w:rPr>
              <w:t>تعريف صالات المصنع الـ 16 وتوزيع خطوط الإنتاج بداخلها.</w:t>
            </w:r>
          </w:p>
        </w:tc>
      </w:tr>
      <w:tr>
        <w:tc>
          <w:tcPr>
            <w:tcW w:type="dxa" w:w="3312"/>
            <w:shd w:fill="FFFFFF"/>
            <w:tcMar>
              <w:top w:w="80" w:type="dxa"/>
              <w:bottom w:w="80" w:type="dxa"/>
              <w:left w:w="100" w:type="dxa"/>
              <w:right w:w="100" w:type="dxa"/>
            </w:tcMar>
          </w:tcPr>
          <w:p>
            <w:pPr>
              <w:bidi w:val="1"/>
              <w:jc w:val="center"/>
            </w:pPr>
            <w:r>
              <w:rPr>
                <w:sz w:val="19"/>
              </w:rPr>
              <w:t>معايير الطاقات الإنتاجية</w:t>
              <w:br/>
              <w:t>(Capacity Norms)</w:t>
            </w:r>
          </w:p>
        </w:tc>
        <w:tc>
          <w:tcPr>
            <w:tcW w:type="dxa" w:w="3312"/>
            <w:shd w:fill="FFFFFF"/>
            <w:tcMar>
              <w:top w:w="80" w:type="dxa"/>
              <w:bottom w:w="80" w:type="dxa"/>
              <w:left w:w="100" w:type="dxa"/>
              <w:right w:w="100" w:type="dxa"/>
            </w:tcMar>
          </w:tcPr>
          <w:p>
            <w:pPr>
              <w:bidi w:val="1"/>
              <w:jc w:val="right"/>
            </w:pPr>
            <w:r>
              <w:rPr>
                <w:sz w:val="19"/>
              </w:rPr>
              <w:t>Tile Production -&gt; Master Standards -&gt; Capacity Norms</w:t>
            </w:r>
          </w:p>
        </w:tc>
        <w:tc>
          <w:tcPr>
            <w:tcW w:type="dxa" w:w="3312"/>
            <w:shd w:fill="FFFFFF"/>
            <w:tcMar>
              <w:top w:w="80" w:type="dxa"/>
              <w:bottom w:w="80" w:type="dxa"/>
              <w:left w:w="100" w:type="dxa"/>
              <w:right w:w="100" w:type="dxa"/>
            </w:tcMar>
          </w:tcPr>
          <w:p>
            <w:pPr>
              <w:bidi w:val="1"/>
              <w:jc w:val="right"/>
            </w:pPr>
            <w:r>
              <w:rPr>
                <w:sz w:val="19"/>
              </w:rPr>
              <w:t>تحديد السرعات المعيارية للكبس والجلي وعيون القوالب وساعات التبخير لكل صنف.</w:t>
            </w:r>
          </w:p>
        </w:tc>
      </w:tr>
      <w:tr>
        <w:tc>
          <w:tcPr>
            <w:tcW w:type="dxa" w:w="3312"/>
            <w:shd w:fill="F8F9FA"/>
            <w:tcMar>
              <w:top w:w="80" w:type="dxa"/>
              <w:bottom w:w="80" w:type="dxa"/>
              <w:left w:w="100" w:type="dxa"/>
              <w:right w:w="100" w:type="dxa"/>
            </w:tcMar>
          </w:tcPr>
          <w:p>
            <w:pPr>
              <w:bidi w:val="1"/>
              <w:jc w:val="center"/>
            </w:pPr>
            <w:r>
              <w:rPr>
                <w:sz w:val="19"/>
              </w:rPr>
              <w:t>كتالوج أسباب الأعطال</w:t>
              <w:br/>
              <w:t>(Breakdown Catalog)</w:t>
            </w:r>
          </w:p>
        </w:tc>
        <w:tc>
          <w:tcPr>
            <w:tcW w:type="dxa" w:w="3312"/>
            <w:shd w:fill="F8F9FA"/>
            <w:tcMar>
              <w:top w:w="80" w:type="dxa"/>
              <w:bottom w:w="80" w:type="dxa"/>
              <w:left w:w="100" w:type="dxa"/>
              <w:right w:w="100" w:type="dxa"/>
            </w:tcMar>
          </w:tcPr>
          <w:p>
            <w:pPr>
              <w:bidi w:val="1"/>
              <w:jc w:val="right"/>
            </w:pPr>
            <w:r>
              <w:rPr>
                <w:sz w:val="19"/>
              </w:rPr>
              <w:t>Tile Production -&gt; Master Standards -&gt; Breakdown Catalog</w:t>
            </w:r>
          </w:p>
        </w:tc>
        <w:tc>
          <w:tcPr>
            <w:tcW w:type="dxa" w:w="3312"/>
            <w:shd w:fill="F8F9FA"/>
            <w:tcMar>
              <w:top w:w="80" w:type="dxa"/>
              <w:bottom w:w="80" w:type="dxa"/>
              <w:left w:w="100" w:type="dxa"/>
              <w:right w:w="100" w:type="dxa"/>
            </w:tcMar>
          </w:tcPr>
          <w:p>
            <w:pPr>
              <w:bidi w:val="1"/>
              <w:jc w:val="right"/>
            </w:pPr>
            <w:r>
              <w:rPr>
                <w:sz w:val="19"/>
              </w:rPr>
              <w:t>إدارة كتالوج أسباب الأعطال والتوقفات الـ 187 وتصنيفها حسب الجزء المتعطل.</w:t>
            </w:r>
          </w:p>
        </w:tc>
      </w:tr>
      <w:tr>
        <w:tc>
          <w:tcPr>
            <w:tcW w:type="dxa" w:w="3312"/>
            <w:shd w:fill="FFFFFF"/>
            <w:tcMar>
              <w:top w:w="80" w:type="dxa"/>
              <w:bottom w:w="80" w:type="dxa"/>
              <w:left w:w="100" w:type="dxa"/>
              <w:right w:w="100" w:type="dxa"/>
            </w:tcMar>
          </w:tcPr>
          <w:p>
            <w:pPr>
              <w:bidi w:val="1"/>
              <w:jc w:val="center"/>
            </w:pPr>
            <w:r>
              <w:rPr>
                <w:sz w:val="19"/>
              </w:rPr>
              <w:t>مجموعات البلاط والأسمنتي</w:t>
              <w:br/>
              <w:t>(Tile Product Groups)</w:t>
            </w:r>
          </w:p>
        </w:tc>
        <w:tc>
          <w:tcPr>
            <w:tcW w:type="dxa" w:w="3312"/>
            <w:shd w:fill="FFFFFF"/>
            <w:tcMar>
              <w:top w:w="80" w:type="dxa"/>
              <w:bottom w:w="80" w:type="dxa"/>
              <w:left w:w="100" w:type="dxa"/>
              <w:right w:w="100" w:type="dxa"/>
            </w:tcMar>
          </w:tcPr>
          <w:p>
            <w:pPr>
              <w:bidi w:val="1"/>
              <w:jc w:val="right"/>
            </w:pPr>
            <w:r>
              <w:rPr>
                <w:sz w:val="19"/>
              </w:rPr>
              <w:t>Tile Production -&gt; Master Standards -&gt; Tile Groups</w:t>
            </w:r>
          </w:p>
        </w:tc>
        <w:tc>
          <w:tcPr>
            <w:tcW w:type="dxa" w:w="3312"/>
            <w:shd w:fill="FFFFFF"/>
            <w:tcMar>
              <w:top w:w="80" w:type="dxa"/>
              <w:bottom w:w="80" w:type="dxa"/>
              <w:left w:w="100" w:type="dxa"/>
              <w:right w:w="100" w:type="dxa"/>
            </w:tcMar>
          </w:tcPr>
          <w:p>
            <w:pPr>
              <w:bidi w:val="1"/>
              <w:jc w:val="right"/>
            </w:pPr>
            <w:r>
              <w:rPr>
                <w:sz w:val="19"/>
              </w:rPr>
              <w:t>إدارة تصنيفات الأصناف (بلدي، كسر رخام، أسمنتي، إنترلوك، بردورات، بلك، خلطة).</w:t>
            </w:r>
          </w:p>
        </w:tc>
      </w:tr>
    </w:tbl>
    <w:p>
      <w:pPr>
        <w:spacing w:after="200"/>
      </w:pPr>
    </w:p>
    <w:p>
      <w:pPr>
        <w:keepNext/>
        <w:bidi w:val="1"/>
        <w:spacing w:before="360" w:after="160"/>
        <w:jc w:val="right"/>
      </w:pPr>
      <w:r>
        <w:rPr>
          <w:b/>
          <w:color w:val="0F4C81"/>
          <w:sz w:val="36"/>
        </w:rPr>
        <w:t>3. إعداد البيانات والمعايير القياسية (Master Standards)</w:t>
      </w:r>
    </w:p>
    <w:p>
      <w:pPr>
        <w:keepNext/>
        <w:bidi w:val="1"/>
        <w:spacing w:before="280" w:after="120"/>
        <w:jc w:val="right"/>
      </w:pPr>
      <w:r>
        <w:rPr>
          <w:b/>
          <w:color w:val="2C3E50"/>
          <w:sz w:val="28"/>
        </w:rPr>
        <w:t>3.1 بطاقة مواصفات البلاط في شاشة المنتج (Product Template):</w:t>
      </w:r>
    </w:p>
    <w:p>
      <w:pPr>
        <w:bidi w:val="1"/>
        <w:spacing w:after="120" w:line="276" w:lineRule="auto"/>
        <w:jc w:val="right"/>
      </w:pPr>
      <w:r>
        <w:rPr>
          <w:b w:val="0"/>
        </w:rPr>
        <w:t>عند فتح أي صنف مصنع من شاشة الأصناف، يظهر تبويب مخصص باسم Tile Manufacturing Specs يحتوي على الخصائص الهندسية واللوجستية التالية:</w:t>
      </w:r>
    </w:p>
    <w:p>
      <w:pPr>
        <w:pStyle w:val="ListBullet"/>
        <w:bidi w:val="1"/>
        <w:spacing w:after="60" w:line="276" w:lineRule="auto"/>
        <w:jc w:val="right"/>
      </w:pPr>
      <w:r>
        <w:t>Is Tile / Concrete Product (منتج بلاط أو خرساني): تفعيل هذا الخيار لإظهار حقول البلاط وإتاحة استخدام الصنف في أوراق الوردية.</w:t>
      </w:r>
    </w:p>
    <w:p>
      <w:pPr>
        <w:pStyle w:val="ListBullet"/>
        <w:bidi w:val="1"/>
        <w:spacing w:after="60" w:line="276" w:lineRule="auto"/>
        <w:jc w:val="right"/>
      </w:pPr>
      <w:r>
        <w:t>المقاس (Dimensions): مقاس البلاطة بالسم (مثل: 20×20، 25×25، 30×30، 40×40).</w:t>
      </w:r>
    </w:p>
    <w:p>
      <w:pPr>
        <w:pStyle w:val="ListBullet"/>
        <w:bidi w:val="1"/>
        <w:spacing w:after="60" w:line="276" w:lineRule="auto"/>
        <w:jc w:val="right"/>
      </w:pPr>
      <w:r>
        <w:t>اللون (Color): اللون المعتمد للبلاط أو الصبغة (أبيض، رصاصي، أسود، أحمر...).</w:t>
      </w:r>
    </w:p>
    <w:p>
      <w:pPr>
        <w:pStyle w:val="ListBullet"/>
        <w:bidi w:val="1"/>
        <w:spacing w:after="60" w:line="276" w:lineRule="auto"/>
        <w:jc w:val="right"/>
      </w:pPr>
      <w:r>
        <w:t>عدد الوحدات في المتر المربع (Units per SQM): عدد البلاطات في المتر المربع (مثال: مقاس 25×25 = 16 بلاطة/م²، مقاس 20×20 = 25 بلاطة/م²، مقاس 30×30 = 11.1 بلاطة/م²).</w:t>
      </w:r>
    </w:p>
    <w:p>
      <w:pPr>
        <w:pStyle w:val="ListBullet"/>
        <w:bidi w:val="1"/>
        <w:spacing w:after="60" w:line="276" w:lineRule="auto"/>
        <w:jc w:val="right"/>
      </w:pPr>
      <w:r>
        <w:t>حمولة شاحنة التريلا (Trailer Capacity m²): أقصى سعة تحميل بالمتر المربع لشاحنة النقل الكبيرة تريلا (مثال: 480 م² لمقاس 25×25).</w:t>
      </w:r>
    </w:p>
    <w:p>
      <w:pPr>
        <w:pStyle w:val="ListBullet"/>
        <w:bidi w:val="1"/>
        <w:spacing w:after="60" w:line="276" w:lineRule="auto"/>
        <w:jc w:val="right"/>
      </w:pPr>
      <w:r>
        <w:t>حمولة سيارة الكرين (Crane Capacity m²): أقصى سعة تحميل بالمتر المربع للسيارة المزودة برافعة كرين للتنزيل الموقعي (مثال: 300 م²).</w:t>
      </w:r>
    </w:p>
    <w:p>
      <w:pPr>
        <w:keepNext/>
        <w:bidi w:val="1"/>
        <w:spacing w:before="280" w:after="120"/>
        <w:jc w:val="right"/>
      </w:pPr>
      <w:r>
        <w:rPr>
          <w:b/>
          <w:color w:val="2C3E50"/>
          <w:sz w:val="28"/>
        </w:rPr>
        <w:t>3.2 معايير الطاقات والسرعات المعيارية (Capacity Norms):</w:t>
      </w:r>
    </w:p>
    <w:p>
      <w:pPr>
        <w:bidi w:val="1"/>
        <w:spacing w:after="120" w:line="276" w:lineRule="auto"/>
        <w:jc w:val="right"/>
      </w:pPr>
      <w:r>
        <w:rPr>
          <w:b w:val="0"/>
        </w:rPr>
        <w:t>من شاشة Capacity Norms يتم ضبط المعايير القياسية لكل صنف على كل ماكينة، وتتضمن:</w:t>
      </w:r>
    </w:p>
    <w:p>
      <w:pPr>
        <w:pStyle w:val="ListBullet"/>
        <w:bidi w:val="1"/>
        <w:spacing w:after="60" w:line="276" w:lineRule="auto"/>
        <w:jc w:val="right"/>
      </w:pPr>
      <w:r>
        <w:t>عدد عيون القالب (Mould Cavities): 2 أو 4 أو 6 أو 8 أو 15 أو 20 عين حسب المكبس والمقاس.</w:t>
      </w:r>
    </w:p>
    <w:p>
      <w:pPr>
        <w:pStyle w:val="ListBullet"/>
        <w:bidi w:val="1"/>
        <w:spacing w:after="60" w:line="276" w:lineRule="auto"/>
        <w:jc w:val="right"/>
      </w:pPr>
      <w:r>
        <w:t>معيار سرعة الكبس بالساعة (Std Press Speed m²/hr): متوسط إنتاج الكبس المتوقع لكل ساعة تشغيل صافية.</w:t>
      </w:r>
    </w:p>
    <w:p>
      <w:pPr>
        <w:pStyle w:val="ListBullet"/>
        <w:bidi w:val="1"/>
        <w:spacing w:after="60" w:line="276" w:lineRule="auto"/>
        <w:jc w:val="right"/>
      </w:pPr>
      <w:r>
        <w:t>معيار سرعة الجلي بالساعة (Std Grinding Speed m²/hr): متوسط إنتاج الجلاية بالساعة.</w:t>
      </w:r>
    </w:p>
    <w:p>
      <w:pPr>
        <w:pStyle w:val="ListBullet"/>
        <w:bidi w:val="1"/>
        <w:spacing w:after="60" w:line="276" w:lineRule="auto"/>
        <w:jc w:val="right"/>
      </w:pPr>
      <w:r>
        <w:t>ساعات التبخير والإنضاج (Steam Curing Hours): ساعات المعالجة بالبخار في غرف الإنضاج (7 إلى 12 ساعة).</w:t>
      </w:r>
    </w:p>
    <w:p>
      <w:pPr>
        <w:pStyle w:val="ListBullet"/>
        <w:bidi w:val="1"/>
        <w:spacing w:after="60" w:line="276" w:lineRule="auto"/>
        <w:jc w:val="right"/>
      </w:pPr>
      <w:r>
        <w:t>نسبة الهالك المسموحة معيارياً (Std Waste %): نسبة الهالك المسموح بها للصنف (المعيار الافتراضي للمصنع 3.0%).</w:t>
      </w:r>
    </w:p>
    <w:p>
      <w:pPr>
        <w:keepNext/>
        <w:bidi w:val="1"/>
        <w:spacing w:before="360" w:after="160"/>
        <w:jc w:val="right"/>
      </w:pPr>
      <w:r>
        <w:rPr>
          <w:b/>
          <w:color w:val="0F4C81"/>
          <w:sz w:val="36"/>
        </w:rPr>
        <w:t>4. دورة تشغيل ورقة الوردية اليومية (Daily Shift Sheet Lifecycle)</w:t>
      </w:r>
    </w:p>
    <w:p>
      <w:pPr>
        <w:bidi w:val="1"/>
        <w:spacing w:after="120" w:line="276" w:lineRule="auto"/>
        <w:jc w:val="right"/>
      </w:pPr>
      <w:r>
        <w:rPr>
          <w:b w:val="0"/>
        </w:rPr>
        <w:t>ورقة الوردية هي العمود الفقري لتسجيل العمليات اليومية في المصنع. تمر الورقة بدورة حياة منظمة:</w:t>
      </w:r>
    </w:p>
    <w:p>
      <w:pPr>
        <w:keepNext/>
        <w:bidi w:val="1"/>
        <w:spacing w:before="280" w:after="120"/>
        <w:jc w:val="right"/>
      </w:pPr>
      <w:r>
        <w:rPr>
          <w:b/>
          <w:color w:val="2C3E50"/>
          <w:sz w:val="28"/>
        </w:rPr>
        <w:t>مراحل ورقة الوردية:</w:t>
      </w:r>
    </w:p>
    <w:p>
      <w:pPr>
        <w:pStyle w:val="ListBullet"/>
        <w:bidi w:val="1"/>
        <w:spacing w:after="60" w:line="276" w:lineRule="auto"/>
        <w:jc w:val="right"/>
      </w:pPr>
      <w:r>
        <w:t>مسودة (Draft): يقوم المشرف بفتح ورقة الوردية وتحديد التاريخ والمصنع وساعات العمل المخططة.</w:t>
      </w:r>
    </w:p>
    <w:p>
      <w:pPr>
        <w:pStyle w:val="ListBullet"/>
        <w:bidi w:val="1"/>
        <w:spacing w:after="60" w:line="276" w:lineRule="auto"/>
        <w:jc w:val="right"/>
      </w:pPr>
      <w:r>
        <w:t>قيد التشغيل (In Progress): بالضغط على زر Start Shift (بدء الوردية)، يتم قفل المواعيد وتفعيل جداول الإدخال.</w:t>
      </w:r>
    </w:p>
    <w:p>
      <w:pPr>
        <w:pStyle w:val="ListBullet"/>
        <w:bidi w:val="1"/>
        <w:spacing w:after="60" w:line="276" w:lineRule="auto"/>
        <w:jc w:val="right"/>
      </w:pPr>
      <w:r>
        <w:t>معتمد ومرحل (Done): يقوم مدير المصنع أو المشرف بمطالعة الإجماليات والضغط على Approve &amp; Close Shift لتثبيت الأرصدة.</w:t>
      </w:r>
    </w:p>
    <w:p>
      <w:pPr>
        <w:pStyle w:val="ListBullet"/>
        <w:bidi w:val="1"/>
        <w:spacing w:after="60" w:line="276" w:lineRule="auto"/>
        <w:jc w:val="right"/>
      </w:pPr>
      <w:r>
        <w:t>ملغي (Cancelled): لإلغاء أي ورقة مسجلة بالخطأ.</w:t>
      </w:r>
    </w:p>
    <w:p>
      <w:pPr>
        <w:keepNext/>
        <w:bidi w:val="1"/>
        <w:spacing w:before="280" w:after="120"/>
        <w:jc w:val="right"/>
      </w:pPr>
      <w:r>
        <w:rPr>
          <w:b/>
          <w:color w:val="2C3E50"/>
          <w:sz w:val="28"/>
        </w:rPr>
        <w:t>أقسام وجداول ورقة الوردية:</w:t>
      </w:r>
    </w:p>
    <w:p>
      <w:pPr>
        <w:keepNext/>
        <w:bidi w:val="1"/>
        <w:spacing w:before="200" w:after="80"/>
        <w:jc w:val="right"/>
      </w:pPr>
      <w:r>
        <w:rPr>
          <w:b/>
          <w:color w:val="16A085"/>
          <w:sz w:val="24"/>
        </w:rPr>
        <w:t>أ) مخرجات الكبس (Pressing Operations Tab):</w:t>
      </w:r>
    </w:p>
    <w:p>
      <w:pPr>
        <w:bidi w:val="1"/>
        <w:spacing w:after="120" w:line="276" w:lineRule="auto"/>
        <w:jc w:val="right"/>
      </w:pPr>
      <w:r>
        <w:rPr>
          <w:b w:val="0"/>
        </w:rPr>
        <w:t>يسجل المشرف لكل خط كبس شغال البيانات التالية:</w:t>
      </w:r>
    </w:p>
    <w:p>
      <w:pPr>
        <w:pStyle w:val="ListBullet"/>
        <w:bidi w:val="1"/>
        <w:spacing w:after="60" w:line="276" w:lineRule="auto"/>
        <w:jc w:val="right"/>
      </w:pPr>
      <w:r>
        <w:t>الماكينة / الخط (Workcenter): اختيار الخط (مثل: رقم 1 أوشم، رقم 4 أوشم، ماسا 1...).</w:t>
      </w:r>
    </w:p>
    <w:p>
      <w:pPr>
        <w:pStyle w:val="ListBullet"/>
        <w:bidi w:val="1"/>
        <w:spacing w:after="60" w:line="276" w:lineRule="auto"/>
        <w:jc w:val="right"/>
      </w:pPr>
      <w:r>
        <w:t>الصنف المكوبس (Product): الصنف الجاري إنتاجه.</w:t>
      </w:r>
    </w:p>
    <w:p>
      <w:pPr>
        <w:pStyle w:val="ListBullet"/>
        <w:bidi w:val="1"/>
        <w:spacing w:after="60" w:line="276" w:lineRule="auto"/>
        <w:jc w:val="right"/>
      </w:pPr>
      <w:r>
        <w:t>ساعات الوردية والتوقف (Shift &amp; Breakdown Hours): مدة العمل ومدة التوقف، ويحسب النظام صافي ساعات التشغيل آلياً.</w:t>
      </w:r>
    </w:p>
    <w:p>
      <w:pPr>
        <w:pStyle w:val="ListBullet"/>
        <w:bidi w:val="1"/>
        <w:spacing w:after="60" w:line="276" w:lineRule="auto"/>
        <w:jc w:val="right"/>
      </w:pPr>
      <w:r>
        <w:t>الإنتاج الفعلي للكبس (Actual Press m²): المتر المربع الفعلي المكبوس.</w:t>
      </w:r>
    </w:p>
    <w:p>
      <w:pPr>
        <w:pStyle w:val="ListBullet"/>
        <w:bidi w:val="1"/>
        <w:spacing w:after="60" w:line="276" w:lineRule="auto"/>
        <w:jc w:val="right"/>
      </w:pPr>
      <w:r>
        <w:t>الإنتاج المتوقع والكفاءة (Expected &amp; Efficiency %): يحسب النظام الإنتاج المتوقع = صافي الساعات × المعيار بالساعة، ويقارنه بالفعلي لاستخراج كفاءة المكبس OEE اللحظية.</w:t>
      </w:r>
    </w:p>
    <w:p>
      <w:pPr>
        <w:keepNext/>
        <w:bidi w:val="1"/>
        <w:spacing w:before="200" w:after="80"/>
        <w:jc w:val="right"/>
      </w:pPr>
      <w:r>
        <w:rPr>
          <w:b/>
          <w:color w:val="16A085"/>
          <w:sz w:val="24"/>
        </w:rPr>
        <w:t>ب) مخرجات الجلي وتوزيع الفرز الخماسي (Grinding &amp; Quality Tab):</w:t>
      </w:r>
    </w:p>
    <w:p>
      <w:pPr>
        <w:bidi w:val="1"/>
        <w:spacing w:after="120" w:line="276" w:lineRule="auto"/>
        <w:jc w:val="right"/>
      </w:pPr>
      <w:r>
        <w:rPr>
          <w:b w:val="0"/>
        </w:rPr>
        <w:t>يُسجل ناتج الجلايات موزعاً بدقة هندسية على 5 تصنيفات:</w:t>
      </w:r>
    </w:p>
    <w:p>
      <w:pPr>
        <w:pStyle w:val="ListBullet"/>
        <w:bidi w:val="1"/>
        <w:spacing w:after="60" w:line="276" w:lineRule="auto"/>
        <w:jc w:val="right"/>
      </w:pPr>
      <w:r>
        <w:t>1. فرز أول ممتاز (First Quality m²): نخب أول مطابق للمواصفات جاهز لتسليم العملاء.</w:t>
      </w:r>
    </w:p>
    <w:p>
      <w:pPr>
        <w:pStyle w:val="ListBullet"/>
        <w:bidi w:val="1"/>
        <w:spacing w:after="60" w:line="276" w:lineRule="auto"/>
        <w:jc w:val="right"/>
      </w:pPr>
      <w:r>
        <w:t>2. فرز ثاني (Second Quality m²): نخب ثانٍ به عيوب طفيفة في الحواف أو اللون.</w:t>
      </w:r>
    </w:p>
    <w:p>
      <w:pPr>
        <w:pStyle w:val="ListBullet"/>
        <w:bidi w:val="1"/>
        <w:spacing w:after="60" w:line="276" w:lineRule="auto"/>
        <w:jc w:val="right"/>
      </w:pPr>
      <w:r>
        <w:t>3. وزرة (Skirting m²): بلاط يتم قصه وتجهيزه كوزرات لحماية أسفل الحوائط.</w:t>
      </w:r>
    </w:p>
    <w:p>
      <w:pPr>
        <w:pStyle w:val="ListBullet"/>
        <w:bidi w:val="1"/>
        <w:spacing w:after="60" w:line="276" w:lineRule="auto"/>
        <w:jc w:val="right"/>
      </w:pPr>
      <w:r>
        <w:t>4. إعادة جلي (Regrinding m²): بلاط يحتاج إلى إعادة تنعيم أو تمرير على الجلاية مرة أخرى.</w:t>
      </w:r>
    </w:p>
    <w:p>
      <w:pPr>
        <w:pStyle w:val="ListBullet"/>
        <w:bidi w:val="1"/>
        <w:spacing w:after="60" w:line="276" w:lineRule="auto"/>
        <w:jc w:val="right"/>
      </w:pPr>
      <w:r>
        <w:t>5. هالك وكسر (Waste m²): مخلفات وتوالف مكسورة تالفة كلياً.</w:t>
      </w:r>
    </w:p>
    <w:tbl>
      <w:tblPr>
        <w:tblW w:type="auto" w:w="0"/>
        <w:jc w:val="center"/>
        <w:tblLook w:firstColumn="1" w:firstRow="1" w:lastColumn="0" w:lastRow="0" w:noHBand="0" w:noVBand="1" w:val="04A0"/>
        <w:bidiVisual/>
      </w:tblPr>
      <w:tblGrid>
        <w:gridCol w:w="9936"/>
      </w:tblGrid>
      <w:tr>
        <w:tc>
          <w:tcPr>
            <w:tcW w:type="dxa" w:w="9936"/>
            <w:shd w:fill="FADBD8"/>
            <w:tcMar>
              <w:top w:w="150" w:type="dxa"/>
              <w:bottom w:w="150" w:type="dxa"/>
              <w:left w:w="200" w:type="dxa"/>
              <w:right w:w="200" w:type="dxa"/>
            </w:tcMar>
            <w:tcBorders>
              <w:top w:val="none"/>
              <w:left w:val="none"/>
              <w:bottom w:val="none"/>
              <w:right w:val="single" w:sz="36" w:space="0" w:color="C0392B"/>
            </w:tcBorders>
          </w:tcPr>
          <w:p>
            <w:pPr>
              <w:bidi w:val="1"/>
              <w:jc w:val="right"/>
            </w:pPr>
            <w:r>
              <w:rPr>
                <w:b/>
                <w:color w:val="C0392B"/>
              </w:rPr>
              <w:t>📌 قاعدة الرقابة الصارمة على الجودة والهالك (Quality &amp; Waste Rule)</w:t>
              <w:br/>
            </w:r>
            <w:r>
              <w:rPr>
                <w:sz w:val="20"/>
              </w:rPr>
              <w:t>يحتوي النظام على خوارزمية تحقق رياضية صارمة: إجمالي الجلي = فرز أول + فرز ثاني + وزرة + إعادة جلي + هالك.</w:t>
              <w:br/>
              <w:t>إذا حدث أي فرق، لن يسمح النظام باعتماد الوردية مطلقاً لضمان عدم وجود عجز مخزني غير مبرر.</w:t>
              <w:br/>
              <w:t>علاوة على ذلك: إذا تجاوزت نسبة الهالك المحققة 3.0%، يتحول السطر تلقائياً في الشاشة إلى اللون الأحمر الداكن مع إطلاق تنبيه رقابي.</w:t>
            </w:r>
          </w:p>
        </w:tc>
      </w:tr>
    </w:tbl>
    <w:p>
      <w:pPr>
        <w:spacing w:after="80"/>
      </w:pPr>
    </w:p>
    <w:p>
      <w:pPr>
        <w:keepNext/>
        <w:bidi w:val="1"/>
        <w:spacing w:before="200" w:after="80"/>
        <w:jc w:val="right"/>
      </w:pPr>
      <w:r>
        <w:rPr>
          <w:b/>
          <w:color w:val="16A085"/>
          <w:sz w:val="24"/>
        </w:rPr>
        <w:t>ج) سجل الأعطال والتوقفات (Breakdowns &amp; Stoppages Tab):</w:t>
      </w:r>
    </w:p>
    <w:p>
      <w:pPr>
        <w:bidi w:val="1"/>
        <w:spacing w:after="120" w:line="276" w:lineRule="auto"/>
        <w:jc w:val="right"/>
      </w:pPr>
      <w:r>
        <w:rPr>
          <w:b w:val="0"/>
        </w:rPr>
        <w:t>في حال تعطل أي ماكينة، يُسجل المشرف تفاصيل التوقف:</w:t>
      </w:r>
    </w:p>
    <w:p>
      <w:pPr>
        <w:pStyle w:val="ListBullet"/>
        <w:bidi w:val="1"/>
        <w:spacing w:after="60" w:line="276" w:lineRule="auto"/>
        <w:jc w:val="right"/>
      </w:pPr>
      <w:r>
        <w:t>الخط أو الماكينة المتعطلة.</w:t>
      </w:r>
    </w:p>
    <w:p>
      <w:pPr>
        <w:pStyle w:val="ListBullet"/>
        <w:bidi w:val="1"/>
        <w:spacing w:after="60" w:line="276" w:lineRule="auto"/>
        <w:jc w:val="right"/>
      </w:pPr>
      <w:r>
        <w:t>الجزء المتعطل (الخلاطة، المكبس، الجلاية، الساحب، الفنجر كار، كهرباء، نقص خامات...).</w:t>
      </w:r>
    </w:p>
    <w:p>
      <w:pPr>
        <w:pStyle w:val="ListBullet"/>
        <w:bidi w:val="1"/>
        <w:spacing w:after="60" w:line="276" w:lineRule="auto"/>
        <w:jc w:val="right"/>
      </w:pPr>
      <w:r>
        <w:t>سبب العطل من كتالوج الـ 187 سبب المعرّف مسبقاً.</w:t>
      </w:r>
    </w:p>
    <w:p>
      <w:pPr>
        <w:pStyle w:val="ListBullet"/>
        <w:bidi w:val="1"/>
        <w:spacing w:after="60" w:line="276" w:lineRule="auto"/>
        <w:jc w:val="right"/>
      </w:pPr>
      <w:r>
        <w:t>مدة التوقف بالساعات (مثال: 0.5 ساعة، 1.25 ساعة).</w:t>
      </w:r>
    </w:p>
    <w:p>
      <w:pPr>
        <w:pStyle w:val="ListBullet"/>
        <w:bidi w:val="1"/>
        <w:spacing w:after="60" w:line="276" w:lineRule="auto"/>
        <w:jc w:val="right"/>
      </w:pPr>
      <w:r>
        <w:t>زر إنشاء أمر الصيانة الفوري (Create Maintenance Order): بنقرة زر واحدة يُنشئ النظام تذكرة صيانة رسمية في تطبيق الصيانة (Maintenance) مع إرسال إشعار لفريق الصيانة.</w:t>
      </w:r>
    </w:p>
    <w:p>
      <w:r>
        <w:br w:type="page"/>
      </w:r>
    </w:p>
    <w:p>
      <w:pPr>
        <w:keepNext/>
        <w:bidi w:val="1"/>
        <w:spacing w:before="360" w:after="160"/>
        <w:jc w:val="right"/>
      </w:pPr>
      <w:r>
        <w:rPr>
          <w:b/>
          <w:color w:val="0F4C81"/>
          <w:sz w:val="36"/>
        </w:rPr>
        <w:t>5. سيناريو عملي متكامل من واقع تشغيل المصنع (Real-Life Case Study)</w:t>
      </w:r>
    </w:p>
    <w:p>
      <w:pPr>
        <w:bidi w:val="1"/>
        <w:spacing w:after="120" w:line="276" w:lineRule="auto"/>
        <w:jc w:val="right"/>
      </w:pPr>
      <w:r>
        <w:rPr>
          <w:b w:val="0"/>
        </w:rPr>
        <w:t>لتدريب المشرفين والمهندسين بشكل عملي، نستعرض هذا المثال الواقعي المستخرج من بيانات قاعدة بيانات المصنع الفعلية:</w:t>
      </w:r>
    </w:p>
    <w:tbl>
      <w:tblPr>
        <w:tblW w:type="auto" w:w="0"/>
        <w:jc w:val="center"/>
        <w:tblLook w:firstColumn="1" w:firstRow="1" w:lastColumn="0" w:lastRow="0" w:noHBand="0" w:noVBand="1" w:val="04A0"/>
        <w:bidiVisual/>
      </w:tblPr>
      <w:tblGrid>
        <w:gridCol w:w="4968"/>
        <w:gridCol w:w="4968"/>
      </w:tblGrid>
      <w:tr>
        <w:tc>
          <w:tcPr>
            <w:tcW w:type="dxa" w:w="4968"/>
            <w:shd w:fill="F2F4F4"/>
            <w:tcMar>
              <w:top w:w="80" w:type="dxa"/>
              <w:bottom w:w="80" w:type="dxa"/>
              <w:left w:w="100" w:type="dxa"/>
              <w:right w:w="100" w:type="dxa"/>
            </w:tcMar>
          </w:tcPr>
          <w:p>
            <w:pPr>
              <w:bidi w:val="1"/>
              <w:jc w:val="right"/>
            </w:pPr>
            <w:r>
              <w:rPr>
                <w:b/>
                <w:color w:val="0F4C81"/>
                <w:sz w:val="19"/>
              </w:rPr>
              <w:t xml:space="preserve">تاريخ الوردية: </w:t>
            </w:r>
            <w:r>
              <w:rPr>
                <w:sz w:val="19"/>
              </w:rPr>
              <w:t xml:space="preserve"> 14 أكتوبر 2026</w:t>
            </w:r>
          </w:p>
        </w:tc>
        <w:tc>
          <w:tcPr>
            <w:tcW w:type="dxa" w:w="4968"/>
            <w:shd w:fill="F2F4F4"/>
            <w:tcMar>
              <w:top w:w="80" w:type="dxa"/>
              <w:bottom w:w="80" w:type="dxa"/>
              <w:left w:w="100" w:type="dxa"/>
              <w:right w:w="100" w:type="dxa"/>
            </w:tcMar>
          </w:tcPr>
          <w:p>
            <w:pPr>
              <w:bidi w:val="1"/>
              <w:jc w:val="right"/>
            </w:pPr>
            <w:r>
              <w:rPr>
                <w:b/>
                <w:color w:val="0F4C81"/>
                <w:sz w:val="19"/>
              </w:rPr>
              <w:t xml:space="preserve">نوع الوردية: </w:t>
            </w:r>
            <w:r>
              <w:rPr>
                <w:sz w:val="19"/>
              </w:rPr>
              <w:t xml:space="preserve"> الوردية الصباحية (7:00 ص إلى 7:00 م - 12 ساعة)</w:t>
            </w:r>
          </w:p>
        </w:tc>
      </w:tr>
      <w:tr>
        <w:tc>
          <w:tcPr>
            <w:tcW w:type="dxa" w:w="4968"/>
            <w:shd w:fill="F2F4F4"/>
            <w:tcMar>
              <w:top w:w="80" w:type="dxa"/>
              <w:bottom w:w="80" w:type="dxa"/>
              <w:left w:w="100" w:type="dxa"/>
              <w:right w:w="100" w:type="dxa"/>
            </w:tcMar>
          </w:tcPr>
          <w:p>
            <w:pPr>
              <w:bidi w:val="1"/>
              <w:jc w:val="right"/>
            </w:pPr>
            <w:r>
              <w:rPr>
                <w:b/>
                <w:color w:val="0F4C81"/>
                <w:sz w:val="19"/>
              </w:rPr>
              <w:t xml:space="preserve">موقع التشغيل: </w:t>
            </w:r>
            <w:r>
              <w:rPr>
                <w:sz w:val="19"/>
              </w:rPr>
              <w:t xml:space="preserve"> صالة رقم 1 (عنبر مكابس وجلايات أوشم OCEM)</w:t>
            </w:r>
          </w:p>
        </w:tc>
        <w:tc>
          <w:tcPr>
            <w:tcW w:type="dxa" w:w="4968"/>
            <w:shd w:fill="F2F4F4"/>
            <w:tcMar>
              <w:top w:w="80" w:type="dxa"/>
              <w:bottom w:w="80" w:type="dxa"/>
              <w:left w:w="100" w:type="dxa"/>
              <w:right w:w="100" w:type="dxa"/>
            </w:tcMar>
          </w:tcPr>
          <w:p>
            <w:pPr>
              <w:bidi w:val="1"/>
              <w:jc w:val="right"/>
            </w:pPr>
            <w:r>
              <w:rPr>
                <w:b/>
                <w:color w:val="0F4C81"/>
                <w:sz w:val="19"/>
              </w:rPr>
              <w:t xml:space="preserve">مشرف الوردية: </w:t>
            </w:r>
            <w:r>
              <w:rPr>
                <w:sz w:val="19"/>
              </w:rPr>
              <w:t xml:space="preserve"> م. أحمد المنصور</w:t>
            </w:r>
          </w:p>
        </w:tc>
      </w:tr>
      <w:tr>
        <w:tc>
          <w:tcPr>
            <w:tcW w:type="dxa" w:w="4968"/>
            <w:shd w:fill="F2F4F4"/>
            <w:tcMar>
              <w:top w:w="80" w:type="dxa"/>
              <w:bottom w:w="80" w:type="dxa"/>
              <w:left w:w="100" w:type="dxa"/>
              <w:right w:w="100" w:type="dxa"/>
            </w:tcMar>
          </w:tcPr>
          <w:p>
            <w:pPr>
              <w:bidi w:val="1"/>
              <w:jc w:val="right"/>
            </w:pPr>
            <w:r>
              <w:rPr>
                <w:b/>
                <w:color w:val="0F4C81"/>
                <w:sz w:val="19"/>
              </w:rPr>
              <w:t xml:space="preserve">الخط الأول (خط 1): </w:t>
            </w:r>
            <w:r>
              <w:rPr>
                <w:sz w:val="19"/>
              </w:rPr>
              <w:t xml:space="preserve"> مكبس وجلاية OCEM ينتج بلاط بلدي أبيض BF1 مقاس 25×25</w:t>
            </w:r>
          </w:p>
        </w:tc>
        <w:tc>
          <w:tcPr>
            <w:tcW w:type="dxa" w:w="4968"/>
            <w:shd w:fill="F2F4F4"/>
            <w:tcMar>
              <w:top w:w="80" w:type="dxa"/>
              <w:bottom w:w="80" w:type="dxa"/>
              <w:left w:w="100" w:type="dxa"/>
              <w:right w:w="100" w:type="dxa"/>
            </w:tcMar>
          </w:tcPr>
          <w:p>
            <w:pPr>
              <w:bidi w:val="1"/>
              <w:jc w:val="right"/>
            </w:pPr>
            <w:r>
              <w:rPr>
                <w:b/>
                <w:color w:val="0F4C81"/>
                <w:sz w:val="19"/>
              </w:rPr>
              <w:t xml:space="preserve">الخط الثاني (خط 4): </w:t>
            </w:r>
            <w:r>
              <w:rPr>
                <w:sz w:val="19"/>
              </w:rPr>
              <w:t xml:space="preserve"> مكبس وجلاية OCEM ينتج بلاط كسر رخام MM05 مقاس 25×25</w:t>
            </w:r>
          </w:p>
        </w:tc>
      </w:tr>
      <w:tr>
        <w:tc>
          <w:tcPr>
            <w:tcW w:type="dxa" w:w="4968"/>
            <w:shd w:fill="F2F4F4"/>
            <w:tcMar>
              <w:top w:w="80" w:type="dxa"/>
              <w:bottom w:w="80" w:type="dxa"/>
              <w:left w:w="100" w:type="dxa"/>
              <w:right w:w="100" w:type="dxa"/>
            </w:tcMar>
          </w:tcPr>
          <w:p>
            <w:pPr>
              <w:bidi w:val="1"/>
              <w:jc w:val="right"/>
            </w:pPr>
            <w:r>
              <w:rPr>
                <w:b/>
                <w:color w:val="0F4C81"/>
                <w:sz w:val="19"/>
              </w:rPr>
              <w:t xml:space="preserve">ساعات الصيانة المجدولة: </w:t>
            </w:r>
            <w:r>
              <w:rPr>
                <w:sz w:val="19"/>
              </w:rPr>
              <w:t xml:space="preserve"> 1.5 ساعة صيانة يومية</w:t>
            </w:r>
          </w:p>
        </w:tc>
        <w:tc>
          <w:tcPr>
            <w:tcW w:type="dxa" w:w="4968"/>
            <w:shd w:fill="F2F4F4"/>
            <w:tcMar>
              <w:top w:w="80" w:type="dxa"/>
              <w:bottom w:w="80" w:type="dxa"/>
              <w:left w:w="100" w:type="dxa"/>
              <w:right w:w="100" w:type="dxa"/>
            </w:tcMar>
          </w:tcPr>
          <w:p>
            <w:pPr>
              <w:bidi w:val="1"/>
              <w:jc w:val="right"/>
            </w:pPr>
            <w:r>
              <w:rPr>
                <w:b/>
                <w:color w:val="0F4C81"/>
                <w:sz w:val="19"/>
              </w:rPr>
              <w:t xml:space="preserve">ساعات الراحة: </w:t>
            </w:r>
            <w:r>
              <w:rPr>
                <w:sz w:val="19"/>
              </w:rPr>
              <w:t xml:space="preserve"> 0.75 ساعة لتبديل الفنيين والراحة</w:t>
            </w:r>
          </w:p>
        </w:tc>
      </w:tr>
      <w:tr>
        <w:tc>
          <w:tcPr>
            <w:tcW w:type="dxa" w:w="4968"/>
            <w:shd w:fill="F2F4F4"/>
            <w:tcMar>
              <w:top w:w="80" w:type="dxa"/>
              <w:bottom w:w="80" w:type="dxa"/>
              <w:left w:w="100" w:type="dxa"/>
              <w:right w:w="100" w:type="dxa"/>
            </w:tcMar>
          </w:tcPr>
          <w:p>
            <w:pPr>
              <w:bidi w:val="1"/>
              <w:jc w:val="right"/>
            </w:pPr>
            <w:r>
              <w:rPr>
                <w:b/>
                <w:color w:val="0F4C81"/>
                <w:sz w:val="19"/>
              </w:rPr>
              <w:t xml:space="preserve">صافي ساعات التشغيل المستهدفة: </w:t>
            </w:r>
            <w:r>
              <w:rPr>
                <w:sz w:val="19"/>
              </w:rPr>
              <w:t xml:space="preserve"> 9.75 ساعة</w:t>
            </w:r>
          </w:p>
        </w:tc>
        <w:tc>
          <w:tcPr>
            <w:tcW w:type="dxa" w:w="4968"/>
            <w:shd w:fill="F2F4F4"/>
            <w:tcMar>
              <w:top w:w="80" w:type="dxa"/>
              <w:bottom w:w="80" w:type="dxa"/>
              <w:left w:w="100" w:type="dxa"/>
              <w:right w:w="100" w:type="dxa"/>
            </w:tcMar>
          </w:tcPr>
          <w:p>
            <w:pPr>
              <w:bidi w:val="1"/>
              <w:jc w:val="right"/>
            </w:pPr>
            <w:r>
              <w:rPr>
                <w:b/>
                <w:color w:val="0F4C81"/>
                <w:sz w:val="19"/>
              </w:rPr>
              <w:t xml:space="preserve">حالة التشغيل: </w:t>
            </w:r>
            <w:r>
              <w:rPr>
                <w:sz w:val="19"/>
              </w:rPr>
              <w:t xml:space="preserve"> تشغيل مستمر (Continuous Operation)</w:t>
            </w:r>
          </w:p>
        </w:tc>
      </w:tr>
    </w:tbl>
    <w:p>
      <w:pPr>
        <w:keepNext/>
        <w:bidi w:val="1"/>
        <w:spacing w:before="280" w:after="120"/>
        <w:jc w:val="right"/>
      </w:pPr>
      <w:r>
        <w:rPr>
          <w:b/>
          <w:color w:val="2C3E50"/>
          <w:sz w:val="28"/>
        </w:rPr>
        <w:t>سير الأحداث المنفذة في النظام خلال الوردية:</w:t>
      </w:r>
    </w:p>
    <w:p>
      <w:pPr>
        <w:keepNext/>
        <w:bidi w:val="1"/>
        <w:spacing w:before="200" w:after="80"/>
        <w:jc w:val="right"/>
      </w:pPr>
      <w:r>
        <w:rPr>
          <w:b/>
          <w:color w:val="16A085"/>
          <w:sz w:val="24"/>
        </w:rPr>
        <w:t>أولاً: تسجيل خط الكبس رقم 1 (تشغيل مثالي دون توقف):</w:t>
      </w:r>
    </w:p>
    <w:p>
      <w:pPr>
        <w:bidi w:val="1"/>
        <w:spacing w:after="120" w:line="276" w:lineRule="auto"/>
        <w:jc w:val="right"/>
      </w:pPr>
      <w:r>
        <w:rPr>
          <w:b w:val="0"/>
        </w:rPr>
        <w:t>عمل مكبس خط 1 طوال ساعات الوردية دون أي عطل ميكانيكي:</w:t>
      </w:r>
    </w:p>
    <w:p>
      <w:pPr>
        <w:pStyle w:val="ListBullet"/>
        <w:bidi w:val="1"/>
        <w:spacing w:after="60" w:line="276" w:lineRule="auto"/>
        <w:jc w:val="right"/>
      </w:pPr>
      <w:r>
        <w:t>ساعات الوردية: 12 ساعة | ساعات التوقف: 0 ساعة | صافي ساعات التشغيل: 12 ساعة.</w:t>
      </w:r>
    </w:p>
    <w:p>
      <w:pPr>
        <w:pStyle w:val="ListBullet"/>
        <w:bidi w:val="1"/>
        <w:spacing w:after="60" w:line="276" w:lineRule="auto"/>
        <w:jc w:val="right"/>
      </w:pPr>
      <w:r>
        <w:t>معيار إنتاجية المكبس: 95 م² / ساعة (قالب سداسي 6 عيون).</w:t>
      </w:r>
    </w:p>
    <w:p>
      <w:pPr>
        <w:pStyle w:val="ListBullet"/>
        <w:bidi w:val="1"/>
        <w:spacing w:after="60" w:line="276" w:lineRule="auto"/>
        <w:jc w:val="right"/>
      </w:pPr>
      <w:r>
        <w:t>الإنتاج المتوقع: 12 × 95 = 1140 م².</w:t>
      </w:r>
    </w:p>
    <w:p>
      <w:pPr>
        <w:pStyle w:val="ListBullet"/>
        <w:bidi w:val="1"/>
        <w:spacing w:after="60" w:line="276" w:lineRule="auto"/>
        <w:jc w:val="right"/>
      </w:pPr>
      <w:r>
        <w:t>الإنتاج الفعلي المكبوس: 1100 م².</w:t>
      </w:r>
    </w:p>
    <w:p>
      <w:pPr>
        <w:pStyle w:val="ListBullet"/>
        <w:bidi w:val="1"/>
        <w:spacing w:after="60" w:line="276" w:lineRule="auto"/>
        <w:jc w:val="right"/>
      </w:pPr>
      <w:r>
        <w:t>كفاءة المكبس OEE: (1100 / 1140) × 100 = 96.49% (أداء ممتاز).</w:t>
      </w:r>
    </w:p>
    <w:p>
      <w:pPr>
        <w:keepNext/>
        <w:bidi w:val="1"/>
        <w:spacing w:before="200" w:after="80"/>
        <w:jc w:val="right"/>
      </w:pPr>
      <w:r>
        <w:rPr>
          <w:b/>
          <w:color w:val="16A085"/>
          <w:sz w:val="24"/>
        </w:rPr>
        <w:t>ثانياً: تسجيل خط الكبس رقم 4 (حدوث عطل مفاجئ):</w:t>
      </w:r>
    </w:p>
    <w:p>
      <w:pPr>
        <w:bidi w:val="1"/>
        <w:spacing w:after="120" w:line="276" w:lineRule="auto"/>
        <w:jc w:val="right"/>
      </w:pPr>
      <w:r>
        <w:rPr>
          <w:b w:val="0"/>
        </w:rPr>
        <w:t>في تمام الساعة 11:30 صباحاً، توقف مكبس خط 4 فجأة بسبب عطل كهربائي:</w:t>
      </w:r>
    </w:p>
    <w:p>
      <w:pPr>
        <w:pStyle w:val="ListBullet"/>
        <w:bidi w:val="1"/>
        <w:spacing w:after="60" w:line="276" w:lineRule="auto"/>
        <w:jc w:val="right"/>
      </w:pPr>
      <w:r>
        <w:t>قام المشرف بفتح تبويب Breakdowns &amp; Stoppages وأضاف سطراً جديداً:</w:t>
      </w:r>
    </w:p>
    <w:p>
      <w:pPr>
        <w:pStyle w:val="ListBullet"/>
        <w:bidi w:val="1"/>
        <w:spacing w:after="60" w:line="276" w:lineRule="auto"/>
        <w:jc w:val="right"/>
      </w:pPr>
      <w:r>
        <w:t>الماكينة: خط رقم 4 | الجزء: المكبس | السبب: إصلاح خلل كهربائي (كود 6) | المدة: 1.0 ساعة.</w:t>
      </w:r>
    </w:p>
    <w:p>
      <w:pPr>
        <w:pStyle w:val="ListBullet"/>
        <w:bidi w:val="1"/>
        <w:spacing w:after="60" w:line="276" w:lineRule="auto"/>
        <w:jc w:val="right"/>
      </w:pPr>
      <w:r>
        <w:t>ضغط المشرف على زر Create Maintenance Order وتم توجيه فني الكهرباء فورياً.</w:t>
      </w:r>
    </w:p>
    <w:p>
      <w:pPr>
        <w:pStyle w:val="ListBullet"/>
        <w:bidi w:val="1"/>
        <w:spacing w:after="60" w:line="276" w:lineRule="auto"/>
        <w:jc w:val="right"/>
      </w:pPr>
      <w:r>
        <w:t>في جدول الكبس: ساعات الوردية 12 ساعة - 1 ساعة توقف = 11 ساعة تشغيل صافية.</w:t>
      </w:r>
    </w:p>
    <w:p>
      <w:pPr>
        <w:pStyle w:val="ListBullet"/>
        <w:bidi w:val="1"/>
        <w:spacing w:after="60" w:line="276" w:lineRule="auto"/>
        <w:jc w:val="right"/>
      </w:pPr>
      <w:r>
        <w:t>المعيار بالساعة: 135 م²/س (قالب ثماني 8 عيون) -&gt; المتوقع: 11 × 135 = 1485 م².</w:t>
      </w:r>
    </w:p>
    <w:p>
      <w:pPr>
        <w:pStyle w:val="ListBullet"/>
        <w:bidi w:val="1"/>
        <w:spacing w:after="60" w:line="276" w:lineRule="auto"/>
        <w:jc w:val="right"/>
      </w:pPr>
      <w:r>
        <w:t>الإنتاج الفعلي المحقق: 1150 م² -&gt; كفاءة المكبس: 77.44%.</w:t>
      </w:r>
    </w:p>
    <w:p>
      <w:pPr>
        <w:keepNext/>
        <w:bidi w:val="1"/>
        <w:spacing w:before="200" w:after="80"/>
        <w:jc w:val="right"/>
      </w:pPr>
      <w:r>
        <w:rPr>
          <w:b/>
          <w:color w:val="16A085"/>
          <w:sz w:val="24"/>
        </w:rPr>
        <w:t>ثالثاً: تسجيل مخرجات جلاية خط 1 وتصنيف الفرز الخماسي:</w:t>
      </w:r>
    </w:p>
    <w:p>
      <w:pPr>
        <w:bidi w:val="1"/>
        <w:spacing w:after="120" w:line="276" w:lineRule="auto"/>
        <w:jc w:val="right"/>
      </w:pPr>
      <w:r>
        <w:rPr>
          <w:b w:val="0"/>
        </w:rPr>
        <w:t>عند انتهاء جلي بلاط خط 1، تم فرز البلاط وتسجيله كالتالي:</w:t>
      </w:r>
    </w:p>
    <w:tbl>
      <w:tblPr>
        <w:tblW w:type="auto" w:w="0"/>
        <w:jc w:val="center"/>
        <w:tblLook w:firstColumn="1" w:firstRow="1" w:lastColumn="0" w:lastRow="0" w:noHBand="0" w:noVBand="1" w:val="04A0"/>
        <w:bidiVisual/>
      </w:tblPr>
      <w:tblGrid>
        <w:gridCol w:w="1419"/>
        <w:gridCol w:w="1419"/>
        <w:gridCol w:w="1419"/>
        <w:gridCol w:w="1419"/>
        <w:gridCol w:w="1419"/>
        <w:gridCol w:w="1419"/>
        <w:gridCol w:w="1419"/>
      </w:tblGrid>
      <w:tr>
        <w:tc>
          <w:tcPr>
            <w:tcW w:type="dxa" w:w="1419"/>
            <w:shd w:fill="16A085"/>
          </w:tcPr>
          <w:p>
            <w:pPr>
              <w:bidi w:val="1"/>
              <w:jc w:val="center"/>
            </w:pPr>
            <w:r>
              <w:rPr>
                <w:b/>
                <w:color w:val="FFFFFF"/>
                <w:sz w:val="19"/>
              </w:rPr>
              <w:t>فرز أول ممتاز</w:t>
            </w:r>
          </w:p>
        </w:tc>
        <w:tc>
          <w:tcPr>
            <w:tcW w:type="dxa" w:w="1419"/>
            <w:shd w:fill="16A085"/>
          </w:tcPr>
          <w:p>
            <w:pPr>
              <w:bidi w:val="1"/>
              <w:jc w:val="center"/>
            </w:pPr>
            <w:r>
              <w:rPr>
                <w:b/>
                <w:color w:val="FFFFFF"/>
                <w:sz w:val="19"/>
              </w:rPr>
              <w:t>فرز ثاني</w:t>
            </w:r>
          </w:p>
        </w:tc>
        <w:tc>
          <w:tcPr>
            <w:tcW w:type="dxa" w:w="1419"/>
            <w:shd w:fill="16A085"/>
          </w:tcPr>
          <w:p>
            <w:pPr>
              <w:bidi w:val="1"/>
              <w:jc w:val="center"/>
            </w:pPr>
            <w:r>
              <w:rPr>
                <w:b/>
                <w:color w:val="FFFFFF"/>
                <w:sz w:val="19"/>
              </w:rPr>
              <w:t>وزرة حوائط</w:t>
            </w:r>
          </w:p>
        </w:tc>
        <w:tc>
          <w:tcPr>
            <w:tcW w:type="dxa" w:w="1419"/>
            <w:shd w:fill="16A085"/>
          </w:tcPr>
          <w:p>
            <w:pPr>
              <w:bidi w:val="1"/>
              <w:jc w:val="center"/>
            </w:pPr>
            <w:r>
              <w:rPr>
                <w:b/>
                <w:color w:val="FFFFFF"/>
                <w:sz w:val="19"/>
              </w:rPr>
              <w:t>إعادة جلي</w:t>
            </w:r>
          </w:p>
        </w:tc>
        <w:tc>
          <w:tcPr>
            <w:tcW w:type="dxa" w:w="1419"/>
            <w:shd w:fill="C0392B"/>
          </w:tcPr>
          <w:p>
            <w:pPr>
              <w:bidi w:val="1"/>
              <w:jc w:val="center"/>
            </w:pPr>
            <w:r>
              <w:rPr>
                <w:b/>
                <w:color w:val="FFFFFF"/>
                <w:sz w:val="19"/>
              </w:rPr>
              <w:t>هالك وكسر</w:t>
            </w:r>
          </w:p>
        </w:tc>
        <w:tc>
          <w:tcPr>
            <w:tcW w:type="dxa" w:w="1419"/>
            <w:shd w:fill="16A085"/>
          </w:tcPr>
          <w:p>
            <w:pPr>
              <w:bidi w:val="1"/>
              <w:jc w:val="center"/>
            </w:pPr>
            <w:r>
              <w:rPr>
                <w:b/>
                <w:color w:val="FFFFFF"/>
                <w:sz w:val="19"/>
              </w:rPr>
              <w:t>إجمالي الجلي</w:t>
            </w:r>
          </w:p>
        </w:tc>
        <w:tc>
          <w:tcPr>
            <w:tcW w:type="dxa" w:w="1419"/>
            <w:shd w:fill="16A085"/>
          </w:tcPr>
          <w:p>
            <w:pPr>
              <w:bidi w:val="1"/>
              <w:jc w:val="center"/>
            </w:pPr>
            <w:r>
              <w:rPr>
                <w:b/>
                <w:color w:val="FFFFFF"/>
                <w:sz w:val="19"/>
              </w:rPr>
              <w:t>نسبة الهالك %</w:t>
            </w:r>
          </w:p>
        </w:tc>
      </w:tr>
      <w:tr>
        <w:tc>
          <w:tcPr>
            <w:tcW w:type="dxa" w:w="1419"/>
            <w:shd w:fill="EAFAF1"/>
            <w:tcMar>
              <w:top w:w="80" w:type="dxa"/>
              <w:bottom w:w="80" w:type="dxa"/>
              <w:left w:w="80" w:type="dxa"/>
              <w:right w:w="80" w:type="dxa"/>
            </w:tcMar>
          </w:tcPr>
          <w:p>
            <w:pPr>
              <w:bidi w:val="1"/>
              <w:jc w:val="center"/>
            </w:pPr>
            <w:r>
              <w:rPr>
                <w:b/>
                <w:color w:val="2C3E50"/>
                <w:sz w:val="20"/>
              </w:rPr>
              <w:t>1350 م²</w:t>
            </w:r>
          </w:p>
        </w:tc>
        <w:tc>
          <w:tcPr>
            <w:tcW w:type="dxa" w:w="1419"/>
            <w:shd w:fill="EAFAF1"/>
            <w:tcMar>
              <w:top w:w="80" w:type="dxa"/>
              <w:bottom w:w="80" w:type="dxa"/>
              <w:left w:w="80" w:type="dxa"/>
              <w:right w:w="80" w:type="dxa"/>
            </w:tcMar>
          </w:tcPr>
          <w:p>
            <w:pPr>
              <w:bidi w:val="1"/>
              <w:jc w:val="center"/>
            </w:pPr>
            <w:r>
              <w:rPr>
                <w:b/>
                <w:color w:val="2C3E50"/>
                <w:sz w:val="20"/>
              </w:rPr>
              <w:t>0 م²</w:t>
            </w:r>
          </w:p>
        </w:tc>
        <w:tc>
          <w:tcPr>
            <w:tcW w:type="dxa" w:w="1419"/>
            <w:shd w:fill="EAFAF1"/>
            <w:tcMar>
              <w:top w:w="80" w:type="dxa"/>
              <w:bottom w:w="80" w:type="dxa"/>
              <w:left w:w="80" w:type="dxa"/>
              <w:right w:w="80" w:type="dxa"/>
            </w:tcMar>
          </w:tcPr>
          <w:p>
            <w:pPr>
              <w:bidi w:val="1"/>
              <w:jc w:val="center"/>
            </w:pPr>
            <w:r>
              <w:rPr>
                <w:b/>
                <w:color w:val="2C3E50"/>
                <w:sz w:val="20"/>
              </w:rPr>
              <w:t>8 م²</w:t>
            </w:r>
          </w:p>
        </w:tc>
        <w:tc>
          <w:tcPr>
            <w:tcW w:type="dxa" w:w="1419"/>
            <w:shd w:fill="EAFAF1"/>
            <w:tcMar>
              <w:top w:w="80" w:type="dxa"/>
              <w:bottom w:w="80" w:type="dxa"/>
              <w:left w:w="80" w:type="dxa"/>
              <w:right w:w="80" w:type="dxa"/>
            </w:tcMar>
          </w:tcPr>
          <w:p>
            <w:pPr>
              <w:bidi w:val="1"/>
              <w:jc w:val="center"/>
            </w:pPr>
            <w:r>
              <w:rPr>
                <w:b/>
                <w:color w:val="2C3E50"/>
                <w:sz w:val="20"/>
              </w:rPr>
              <w:t>0 م²</w:t>
            </w:r>
          </w:p>
        </w:tc>
        <w:tc>
          <w:tcPr>
            <w:tcW w:type="dxa" w:w="1419"/>
            <w:shd w:fill="FADBD8"/>
            <w:tcMar>
              <w:top w:w="80" w:type="dxa"/>
              <w:bottom w:w="80" w:type="dxa"/>
              <w:left w:w="80" w:type="dxa"/>
              <w:right w:w="80" w:type="dxa"/>
            </w:tcMar>
          </w:tcPr>
          <w:p>
            <w:pPr>
              <w:bidi w:val="1"/>
              <w:jc w:val="center"/>
            </w:pPr>
            <w:r>
              <w:rPr>
                <w:b/>
                <w:color w:val="C0392B"/>
                <w:sz w:val="20"/>
              </w:rPr>
              <w:t>30 م²</w:t>
            </w:r>
          </w:p>
        </w:tc>
        <w:tc>
          <w:tcPr>
            <w:tcW w:type="dxa" w:w="1419"/>
            <w:shd w:fill="EAFAF1"/>
            <w:tcMar>
              <w:top w:w="80" w:type="dxa"/>
              <w:bottom w:w="80" w:type="dxa"/>
              <w:left w:w="80" w:type="dxa"/>
              <w:right w:w="80" w:type="dxa"/>
            </w:tcMar>
          </w:tcPr>
          <w:p>
            <w:pPr>
              <w:bidi w:val="1"/>
              <w:jc w:val="center"/>
            </w:pPr>
            <w:r>
              <w:rPr>
                <w:b/>
                <w:color w:val="2C3E50"/>
                <w:sz w:val="20"/>
              </w:rPr>
              <w:t>1388 م²</w:t>
            </w:r>
          </w:p>
        </w:tc>
        <w:tc>
          <w:tcPr>
            <w:tcW w:type="dxa" w:w="1419"/>
            <w:shd w:fill="EAFAF1"/>
            <w:tcMar>
              <w:top w:w="80" w:type="dxa"/>
              <w:bottom w:w="80" w:type="dxa"/>
              <w:left w:w="80" w:type="dxa"/>
              <w:right w:w="80" w:type="dxa"/>
            </w:tcMar>
          </w:tcPr>
          <w:p>
            <w:pPr>
              <w:bidi w:val="1"/>
              <w:jc w:val="center"/>
            </w:pPr>
            <w:r>
              <w:rPr>
                <w:b/>
                <w:color w:val="2C3E50"/>
                <w:sz w:val="20"/>
              </w:rPr>
              <w:t>2.16%</w:t>
            </w:r>
          </w:p>
        </w:tc>
      </w:tr>
    </w:tbl>
    <w:p>
      <w:pPr>
        <w:spacing w:after="160"/>
      </w:pPr>
    </w:p>
    <w:p>
      <w:pPr>
        <w:bidi w:val="1"/>
        <w:spacing w:after="120" w:line="276" w:lineRule="auto"/>
        <w:jc w:val="right"/>
      </w:pPr>
      <w:r>
        <w:rPr>
          <w:b w:val="0"/>
        </w:rPr>
        <w:t>التحليل الرياضي لمخرجات الجلاية:</w:t>
      </w:r>
    </w:p>
    <w:p>
      <w:pPr>
        <w:pStyle w:val="ListBullet"/>
        <w:bidi w:val="1"/>
        <w:spacing w:after="60" w:line="276" w:lineRule="auto"/>
        <w:jc w:val="right"/>
      </w:pPr>
      <w:r>
        <w:t>المطابقة الحسابية: 1350 (فرز أول) + 0 (فرز ثاني) + 8 (وزرة) + 0 (إعادة جلي) + 30 (هالك) = 1388 م² (مطابقة تامة 100%).</w:t>
      </w:r>
    </w:p>
    <w:p>
      <w:pPr>
        <w:pStyle w:val="ListBullet"/>
        <w:bidi w:val="1"/>
        <w:spacing w:after="60" w:line="276" w:lineRule="auto"/>
        <w:jc w:val="right"/>
      </w:pPr>
      <w:r>
        <w:t>نسبة الهالك الفعلية: (30 / 1388) × 100 = 2.16%.</w:t>
      </w:r>
    </w:p>
    <w:p>
      <w:pPr>
        <w:pStyle w:val="ListBullet"/>
        <w:bidi w:val="1"/>
        <w:spacing w:after="60" w:line="276" w:lineRule="auto"/>
        <w:jc w:val="right"/>
      </w:pPr>
      <w:r>
        <w:t>مقارنة بالمعيار: 2.16% أقل من النسبة المسموحة (3.0%) -&gt; يظهر السطر باللون الأخضر المطابق للمواصفات.</w:t>
      </w:r>
    </w:p>
    <w:p>
      <w:pPr>
        <w:keepNext/>
        <w:bidi w:val="1"/>
        <w:spacing w:before="200" w:after="80"/>
        <w:jc w:val="right"/>
      </w:pPr>
      <w:r>
        <w:rPr>
          <w:b/>
          <w:color w:val="16A085"/>
          <w:sz w:val="24"/>
        </w:rPr>
        <w:t>رابعاً: إنهاء الوردية واستخراج التقرير:</w:t>
      </w:r>
    </w:p>
    <w:p>
      <w:pPr>
        <w:pStyle w:val="ListBullet"/>
        <w:bidi w:val="1"/>
        <w:spacing w:after="60" w:line="276" w:lineRule="auto"/>
        <w:jc w:val="right"/>
      </w:pPr>
      <w:r>
        <w:t>قام المشرف بمراجعة تبويب الخلاصة Summary &amp; KPIs الذي أظهر: إجمالي كبس المصنع 2250 م²، فرز أول 1350 م²، هالك كلي 30 م²، وإجمالي توقفات 1.0 ساعة.</w:t>
      </w:r>
    </w:p>
    <w:p>
      <w:pPr>
        <w:pStyle w:val="ListBullet"/>
        <w:bidi w:val="1"/>
        <w:spacing w:after="60" w:line="276" w:lineRule="auto"/>
        <w:jc w:val="right"/>
      </w:pPr>
      <w:r>
        <w:t>ضغط المشرف على زر Approve &amp; Close Shift للاعتماد النهائي وقفل السجل.</w:t>
      </w:r>
    </w:p>
    <w:p>
      <w:pPr>
        <w:pStyle w:val="ListBullet"/>
        <w:bidi w:val="1"/>
        <w:spacing w:after="60" w:line="276" w:lineRule="auto"/>
        <w:jc w:val="right"/>
      </w:pPr>
      <w:r>
        <w:t>طبع تقرير الوردية الرسمي (Print -&gt; Daily Shift Production Report) وتم توقيعه من المشرف ومدير المصنع.</w:t>
      </w:r>
    </w:p>
    <w:p>
      <w:pPr>
        <w:keepNext/>
        <w:bidi w:val="1"/>
        <w:spacing w:before="360" w:after="160"/>
        <w:jc w:val="right"/>
      </w:pPr>
      <w:r>
        <w:rPr>
          <w:b/>
          <w:color w:val="0F4C81"/>
          <w:sz w:val="36"/>
        </w:rPr>
        <w:t>6. مصفوفة الصلاحيات والأمان (User Roles &amp; Access Matrix)</w:t>
      </w:r>
    </w:p>
    <w:p>
      <w:pPr>
        <w:bidi w:val="1"/>
        <w:spacing w:after="120" w:line="276" w:lineRule="auto"/>
        <w:jc w:val="right"/>
      </w:pPr>
      <w:r>
        <w:rPr>
          <w:b w:val="0"/>
        </w:rPr>
        <w:t>يحتوي النظام على 3 مستويات أمان محكمة تضمن الحفاظ على سرية البيانات ودقة الاعتمادات:</w:t>
      </w:r>
    </w:p>
    <w:tbl>
      <w:tblPr>
        <w:tblW w:type="auto" w:w="0"/>
        <w:jc w:val="center"/>
        <w:tblLook w:firstColumn="1" w:firstRow="1" w:lastColumn="0" w:lastRow="0" w:noHBand="0" w:noVBand="1" w:val="04A0"/>
        <w:bidiVisual/>
      </w:tblPr>
      <w:tblGrid>
        <w:gridCol w:w="3312"/>
        <w:gridCol w:w="3312"/>
        <w:gridCol w:w="3312"/>
      </w:tblGrid>
      <w:tr>
        <w:tc>
          <w:tcPr>
            <w:tcW w:type="dxa" w:w="3312"/>
            <w:shd w:fill="0F4C81"/>
          </w:tcPr>
          <w:p>
            <w:pPr>
              <w:bidi w:val="1"/>
              <w:jc w:val="center"/>
            </w:pPr>
            <w:r>
              <w:rPr>
                <w:b/>
                <w:color w:val="FFFFFF"/>
                <w:sz w:val="20"/>
              </w:rPr>
              <w:t>المجموعة في أودو</w:t>
            </w:r>
          </w:p>
        </w:tc>
        <w:tc>
          <w:tcPr>
            <w:tcW w:type="dxa" w:w="3312"/>
            <w:shd w:fill="0F4C81"/>
          </w:tcPr>
          <w:p>
            <w:pPr>
              <w:bidi w:val="1"/>
              <w:jc w:val="center"/>
            </w:pPr>
            <w:r>
              <w:rPr>
                <w:b/>
                <w:color w:val="FFFFFF"/>
                <w:sz w:val="20"/>
              </w:rPr>
              <w:t>المسمى الوظيفي</w:t>
            </w:r>
          </w:p>
        </w:tc>
        <w:tc>
          <w:tcPr>
            <w:tcW w:type="dxa" w:w="3312"/>
            <w:shd w:fill="0F4C81"/>
          </w:tcPr>
          <w:p>
            <w:pPr>
              <w:bidi w:val="1"/>
              <w:jc w:val="center"/>
            </w:pPr>
            <w:r>
              <w:rPr>
                <w:b/>
                <w:color w:val="FFFFFF"/>
                <w:sz w:val="20"/>
              </w:rPr>
              <w:t>حدود الصلاحيات الممنوحة</w:t>
            </w:r>
          </w:p>
        </w:tc>
      </w:tr>
      <w:tr>
        <w:tc>
          <w:tcPr>
            <w:tcW w:type="dxa" w:w="3312"/>
            <w:shd w:fill="FFFFFF"/>
            <w:tcMar>
              <w:top w:w="80" w:type="dxa"/>
              <w:bottom w:w="80" w:type="dxa"/>
              <w:left w:w="100" w:type="dxa"/>
              <w:right w:w="100" w:type="dxa"/>
            </w:tcMar>
          </w:tcPr>
          <w:p>
            <w:pPr>
              <w:bidi w:val="1"/>
              <w:jc w:val="center"/>
            </w:pPr>
            <w:r>
              <w:rPr>
                <w:sz w:val="19"/>
              </w:rPr>
              <w:t>Worker</w:t>
              <w:br/>
              <w:t>(فني تشغيل)</w:t>
            </w:r>
          </w:p>
        </w:tc>
        <w:tc>
          <w:tcPr>
            <w:tcW w:type="dxa" w:w="3312"/>
            <w:shd w:fill="FFFFFF"/>
            <w:tcMar>
              <w:top w:w="80" w:type="dxa"/>
              <w:bottom w:w="80" w:type="dxa"/>
              <w:left w:w="100" w:type="dxa"/>
              <w:right w:w="100" w:type="dxa"/>
            </w:tcMar>
          </w:tcPr>
          <w:p>
            <w:pPr>
              <w:bidi w:val="1"/>
              <w:jc w:val="right"/>
            </w:pPr>
            <w:r>
              <w:rPr>
                <w:sz w:val="19"/>
              </w:rPr>
              <w:t>مشغلو المكابس والجلايات وفنيو الإدخال</w:t>
            </w:r>
          </w:p>
        </w:tc>
        <w:tc>
          <w:tcPr>
            <w:tcW w:type="dxa" w:w="3312"/>
            <w:shd w:fill="FFFFFF"/>
            <w:tcMar>
              <w:top w:w="80" w:type="dxa"/>
              <w:bottom w:w="80" w:type="dxa"/>
              <w:left w:w="100" w:type="dxa"/>
              <w:right w:w="100" w:type="dxa"/>
            </w:tcMar>
          </w:tcPr>
          <w:p>
            <w:pPr>
              <w:bidi w:val="1"/>
              <w:jc w:val="right"/>
            </w:pPr>
            <w:r>
              <w:rPr>
                <w:sz w:val="19"/>
              </w:rPr>
              <w:t>إدخال مسودات أوراق الوردية وقراءة معايير الطاقات وكتالوج الأعطال (دون صلاحية اعتماد نهائي).</w:t>
            </w:r>
          </w:p>
        </w:tc>
      </w:tr>
      <w:tr>
        <w:tc>
          <w:tcPr>
            <w:tcW w:type="dxa" w:w="3312"/>
            <w:shd w:fill="F8F9FA"/>
            <w:tcMar>
              <w:top w:w="80" w:type="dxa"/>
              <w:bottom w:w="80" w:type="dxa"/>
              <w:left w:w="100" w:type="dxa"/>
              <w:right w:w="100" w:type="dxa"/>
            </w:tcMar>
          </w:tcPr>
          <w:p>
            <w:pPr>
              <w:bidi w:val="1"/>
              <w:jc w:val="center"/>
            </w:pPr>
            <w:r>
              <w:rPr>
                <w:sz w:val="19"/>
              </w:rPr>
              <w:t>Shift Supervisor</w:t>
              <w:br/>
              <w:t>(مشرف وردية)</w:t>
            </w:r>
          </w:p>
        </w:tc>
        <w:tc>
          <w:tcPr>
            <w:tcW w:type="dxa" w:w="3312"/>
            <w:shd w:fill="F8F9FA"/>
            <w:tcMar>
              <w:top w:w="80" w:type="dxa"/>
              <w:bottom w:w="80" w:type="dxa"/>
              <w:left w:w="100" w:type="dxa"/>
              <w:right w:w="100" w:type="dxa"/>
            </w:tcMar>
          </w:tcPr>
          <w:p>
            <w:pPr>
              <w:bidi w:val="1"/>
              <w:jc w:val="right"/>
            </w:pPr>
            <w:r>
              <w:rPr>
                <w:sz w:val="19"/>
              </w:rPr>
              <w:t>مهندسو ومشرفو الورديات ورؤساء الأقسام</w:t>
            </w:r>
          </w:p>
        </w:tc>
        <w:tc>
          <w:tcPr>
            <w:tcW w:type="dxa" w:w="3312"/>
            <w:shd w:fill="F8F9FA"/>
            <w:tcMar>
              <w:top w:w="80" w:type="dxa"/>
              <w:bottom w:w="80" w:type="dxa"/>
              <w:left w:w="100" w:type="dxa"/>
              <w:right w:w="100" w:type="dxa"/>
            </w:tcMar>
          </w:tcPr>
          <w:p>
            <w:pPr>
              <w:bidi w:val="1"/>
              <w:jc w:val="right"/>
            </w:pPr>
            <w:r>
              <w:rPr>
                <w:sz w:val="19"/>
              </w:rPr>
              <w:t>بدء الوردية، إدخال مخرجات الكبس والجلي، تسجيل الأعطال، إنشاء طلبات الصيانة، وتأكيد الوردية.</w:t>
            </w:r>
          </w:p>
        </w:tc>
      </w:tr>
      <w:tr>
        <w:tc>
          <w:tcPr>
            <w:tcW w:type="dxa" w:w="3312"/>
            <w:shd w:fill="FFFFFF"/>
            <w:tcMar>
              <w:top w:w="80" w:type="dxa"/>
              <w:bottom w:w="80" w:type="dxa"/>
              <w:left w:w="100" w:type="dxa"/>
              <w:right w:w="100" w:type="dxa"/>
            </w:tcMar>
          </w:tcPr>
          <w:p>
            <w:pPr>
              <w:bidi w:val="1"/>
              <w:jc w:val="center"/>
            </w:pPr>
            <w:r>
              <w:rPr>
                <w:sz w:val="19"/>
              </w:rPr>
              <w:t>Plant Manager</w:t>
              <w:br/>
              <w:t>(مدير المصنع والإنتاج)</w:t>
            </w:r>
          </w:p>
        </w:tc>
        <w:tc>
          <w:tcPr>
            <w:tcW w:type="dxa" w:w="3312"/>
            <w:shd w:fill="FFFFFF"/>
            <w:tcMar>
              <w:top w:w="80" w:type="dxa"/>
              <w:bottom w:w="80" w:type="dxa"/>
              <w:left w:w="100" w:type="dxa"/>
              <w:right w:w="100" w:type="dxa"/>
            </w:tcMar>
          </w:tcPr>
          <w:p>
            <w:pPr>
              <w:bidi w:val="1"/>
              <w:jc w:val="right"/>
            </w:pPr>
            <w:r>
              <w:rPr>
                <w:sz w:val="19"/>
              </w:rPr>
              <w:t>مدير المصنع والمدير العام</w:t>
            </w:r>
          </w:p>
        </w:tc>
        <w:tc>
          <w:tcPr>
            <w:tcW w:type="dxa" w:w="3312"/>
            <w:shd w:fill="FFFFFF"/>
            <w:tcMar>
              <w:top w:w="80" w:type="dxa"/>
              <w:bottom w:w="80" w:type="dxa"/>
              <w:left w:w="100" w:type="dxa"/>
              <w:right w:w="100" w:type="dxa"/>
            </w:tcMar>
          </w:tcPr>
          <w:p>
            <w:pPr>
              <w:bidi w:val="1"/>
              <w:jc w:val="right"/>
            </w:pPr>
            <w:r>
              <w:rPr>
                <w:sz w:val="19"/>
              </w:rPr>
              <w:t>الاعتماد النهائي وإغلاق الوردية، تعديل معايير السعات القياسية، تعديل أسباب الأعطال، وإعادة فتح الوردية للاستثناءات.</w:t>
            </w:r>
          </w:p>
        </w:tc>
      </w:tr>
    </w:tbl>
    <w:p>
      <w:pPr>
        <w:spacing w:after="200"/>
      </w:pPr>
    </w:p>
    <w:p>
      <w:pPr>
        <w:keepNext/>
        <w:bidi w:val="1"/>
        <w:spacing w:before="360" w:after="160"/>
        <w:jc w:val="right"/>
      </w:pPr>
      <w:r>
        <w:rPr>
          <w:b/>
          <w:color w:val="0F4C81"/>
          <w:sz w:val="36"/>
        </w:rPr>
        <w:t>7. الأسئلة الشائعة ودليل استكشاف الأخطاء (Troubleshooting &amp; FAQs)</w:t>
      </w:r>
    </w:p>
    <w:p>
      <w:pPr>
        <w:keepNext/>
        <w:bidi w:val="1"/>
        <w:spacing w:before="200" w:after="80"/>
        <w:jc w:val="right"/>
      </w:pPr>
      <w:r>
        <w:rPr>
          <w:b/>
          <w:color w:val="16A085"/>
          <w:sz w:val="24"/>
        </w:rPr>
        <w:t>س 1: عند الضغط على زر الاعتماد (Approve &amp; Close Shift)، يظهر خطأ: Quality distribution mismatch، ما السبب؟</w:t>
      </w:r>
    </w:p>
    <w:p>
      <w:pPr>
        <w:bidi w:val="1"/>
        <w:spacing w:after="120" w:line="276" w:lineRule="auto"/>
        <w:jc w:val="right"/>
      </w:pPr>
      <w:r>
        <w:rPr>
          <w:b w:val="0"/>
        </w:rPr>
        <w:t>السبب: عدم مطابقة مجموع خانات الفرز مع إجمالي كمية الجلي المدخلة.</w:t>
        <w:br/>
        <w:t>الحل: تأكد من أن (فرز أول + فرز ثاني + وزرة + إعادة جلي + هالك) يساوي تماماً إجمالي الجلي. النظام لا يقبل أي فرق لضمان دقة المخزون.</w:t>
      </w:r>
    </w:p>
    <w:p>
      <w:pPr>
        <w:keepNext/>
        <w:bidi w:val="1"/>
        <w:spacing w:before="200" w:after="80"/>
        <w:jc w:val="right"/>
      </w:pPr>
      <w:r>
        <w:rPr>
          <w:b/>
          <w:color w:val="16A085"/>
          <w:sz w:val="24"/>
        </w:rPr>
        <w:t>س 2: ظهر سطر الجلاية باللون الأحمر الداكن، هل هذا عطل في النظام؟</w:t>
      </w:r>
    </w:p>
    <w:p>
      <w:pPr>
        <w:bidi w:val="1"/>
        <w:spacing w:after="120" w:line="276" w:lineRule="auto"/>
        <w:jc w:val="right"/>
      </w:pPr>
      <w:r>
        <w:rPr>
          <w:b w:val="0"/>
        </w:rPr>
        <w:t>السبب: لا، هذا تنبيه رقابي بصري ذكي صُمم لتنبيه المشرف بأن نسبة الهالك في هذا الخط تجاوزت النسبة المسموحة معيارياً (3.0%).</w:t>
        <w:br/>
        <w:t>الإجراء المطلوب: التوجه فوراً للجلاية والمكبس لمعايرة الضغط والتأكد من جودة خلطة الأسمنت وأحجار الجلي.</w:t>
      </w:r>
    </w:p>
    <w:p>
      <w:pPr>
        <w:keepNext/>
        <w:bidi w:val="1"/>
        <w:spacing w:before="200" w:after="80"/>
        <w:jc w:val="right"/>
      </w:pPr>
      <w:r>
        <w:rPr>
          <w:b/>
          <w:color w:val="16A085"/>
          <w:sz w:val="24"/>
        </w:rPr>
        <w:t>س 3: حدث عطل جديد في المصنع وغير موجود ضمن الـ 187 سبباً المسجلة، كيف أضيفه؟</w:t>
      </w:r>
    </w:p>
    <w:p>
      <w:pPr>
        <w:bidi w:val="1"/>
        <w:spacing w:after="120" w:line="276" w:lineRule="auto"/>
        <w:jc w:val="right"/>
      </w:pPr>
      <w:r>
        <w:rPr>
          <w:b w:val="0"/>
        </w:rPr>
        <w:t>الحل: من صلاحية مدير المصنع، انتقل إلى Tile Production -&gt; Master Standards -&gt; Breakdown Catalog، واضغط New، ثم اكتب اسم العطل واختر الجزء المتعطل واحفظ السجل. سيظهر السبب فوراً لجميع المشرفين في القائمة.</w:t>
      </w:r>
    </w:p>
    <w:p>
      <w:pPr>
        <w:keepNext/>
        <w:bidi w:val="1"/>
        <w:spacing w:before="200" w:after="80"/>
        <w:jc w:val="right"/>
      </w:pPr>
      <w:r>
        <w:rPr>
          <w:b/>
          <w:color w:val="16A085"/>
          <w:sz w:val="24"/>
        </w:rPr>
        <w:t>س 4: هل يمكن طباعة التقرير بعد إغلاق الوردية؟</w:t>
      </w:r>
    </w:p>
    <w:p>
      <w:pPr>
        <w:bidi w:val="1"/>
        <w:spacing w:after="120" w:line="276" w:lineRule="auto"/>
        <w:jc w:val="right"/>
      </w:pPr>
      <w:r>
        <w:rPr>
          <w:b w:val="0"/>
        </w:rPr>
        <w:t>نعم، في أي وقت يمكنك فتح ورقة الوردية واختيار Print -&gt; Daily Shift Production Report لطباعة نسخة PDF رسمية تحتوي على كافة الجداول والتوقيعات المعتمدة.</w:t>
      </w:r>
    </w:p>
    <w:p>
      <w:pPr>
        <w:spacing w:before="400"/>
      </w:pPr>
    </w:p>
    <w:p>
      <w:pPr>
        <w:bidi w:val="1"/>
        <w:jc w:val="center"/>
      </w:pPr>
      <w:r>
        <w:rPr>
          <w:i/>
          <w:color w:val="7F8C8D"/>
          <w:sz w:val="20"/>
        </w:rPr>
        <w:t>تم بحمد الله وتوفيقه إعداد هذا الدليل كمرجع تدريبي رسمي معتمد لنظام Horizonz Tiles Manufacturing.</w:t>
      </w:r>
    </w:p>
    <w:sectPr w:rsidR="00FC693F" w:rsidRPr="0006063C" w:rsidSect="00034616">
      <w:footerReference w:type="default" r:id="rId9"/>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Horizonz Tiles &amp; Concrete Manufacturing | Odoo 18 User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