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31FD9" w14:textId="77777777" w:rsidR="00D9097F" w:rsidRDefault="00000000">
      <w:pPr>
        <w:spacing w:after="60"/>
      </w:pPr>
      <w:r>
        <w:rPr>
          <w:b/>
          <w:bCs/>
          <w:color w:val="085041"/>
          <w:sz w:val="34"/>
          <w:szCs w:val="34"/>
        </w:rPr>
        <w:t>SLO Citation Reference</w:t>
      </w:r>
    </w:p>
    <w:p w14:paraId="4CE8F09A" w14:textId="3C2323C7" w:rsidR="008E1C16" w:rsidRDefault="008E1C16">
      <w:pPr>
        <w:spacing w:after="180"/>
      </w:pPr>
      <w:r>
        <w:rPr>
          <w:color w:val="0F6E56"/>
        </w:rPr>
        <w:t xml:space="preserve">Enterprise Support Intelligence System  ·  14 SLOs  </w:t>
      </w:r>
    </w:p>
    <w:p w14:paraId="7297AB57" w14:textId="77777777" w:rsidR="00D9097F" w:rsidRDefault="00000000">
      <w:pPr>
        <w:spacing w:before="80" w:after="80"/>
      </w:pPr>
      <w:r>
        <w:rPr>
          <w:b/>
          <w:bCs/>
          <w:color w:val="085041"/>
          <w:sz w:val="22"/>
          <w:szCs w:val="22"/>
        </w:rPr>
        <w:t>Overview — 14 SLOs across 5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200"/>
        <w:gridCol w:w="1480"/>
        <w:gridCol w:w="2200"/>
        <w:gridCol w:w="3980"/>
      </w:tblGrid>
      <w:tr w:rsidR="00D9097F" w14:paraId="54FB0C58" w14:textId="77777777">
        <w:tc>
          <w:tcPr>
            <w:tcW w:w="5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00" w:type="dxa"/>
              <w:bottom w:w="70" w:type="dxa"/>
              <w:right w:w="100" w:type="dxa"/>
            </w:tcMar>
          </w:tcPr>
          <w:p w14:paraId="3F9528BC" w14:textId="77777777" w:rsidR="00D9097F" w:rsidRDefault="00000000">
            <w:pPr>
              <w:spacing w:after="60"/>
            </w:pPr>
            <w:r>
              <w:rPr>
                <w:b/>
                <w:bCs/>
                <w:color w:val="FFFFFF"/>
                <w:sz w:val="15"/>
                <w:szCs w:val="15"/>
              </w:rPr>
              <w:t>#</w:t>
            </w:r>
          </w:p>
        </w:tc>
        <w:tc>
          <w:tcPr>
            <w:tcW w:w="12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00" w:type="dxa"/>
              <w:bottom w:w="70" w:type="dxa"/>
              <w:right w:w="100" w:type="dxa"/>
            </w:tcMar>
          </w:tcPr>
          <w:p w14:paraId="58487F26" w14:textId="77777777" w:rsidR="00D9097F" w:rsidRDefault="00000000">
            <w:pPr>
              <w:spacing w:after="60"/>
            </w:pPr>
            <w:r>
              <w:rPr>
                <w:b/>
                <w:bCs/>
                <w:color w:val="FFFFFF"/>
                <w:sz w:val="15"/>
                <w:szCs w:val="15"/>
              </w:rPr>
              <w:t>Category</w:t>
            </w:r>
          </w:p>
        </w:tc>
        <w:tc>
          <w:tcPr>
            <w:tcW w:w="14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00" w:type="dxa"/>
              <w:bottom w:w="70" w:type="dxa"/>
              <w:right w:w="100" w:type="dxa"/>
            </w:tcMar>
          </w:tcPr>
          <w:p w14:paraId="7042C040" w14:textId="77777777" w:rsidR="00D9097F" w:rsidRDefault="00000000">
            <w:pPr>
              <w:spacing w:after="60"/>
            </w:pPr>
            <w:r>
              <w:rPr>
                <w:b/>
                <w:bCs/>
                <w:color w:val="FFFFFF"/>
                <w:sz w:val="15"/>
                <w:szCs w:val="15"/>
              </w:rPr>
              <w:t>SLO Name</w:t>
            </w:r>
          </w:p>
        </w:tc>
        <w:tc>
          <w:tcPr>
            <w:tcW w:w="220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00" w:type="dxa"/>
              <w:bottom w:w="70" w:type="dxa"/>
              <w:right w:w="100" w:type="dxa"/>
            </w:tcMar>
          </w:tcPr>
          <w:p w14:paraId="4BD64339" w14:textId="77777777" w:rsidR="00D9097F" w:rsidRDefault="00000000">
            <w:pPr>
              <w:spacing w:after="60"/>
            </w:pPr>
            <w:r>
              <w:rPr>
                <w:b/>
                <w:bCs/>
                <w:color w:val="FFFFFF"/>
                <w:sz w:val="15"/>
                <w:szCs w:val="15"/>
              </w:rPr>
              <w:t>Target</w:t>
            </w:r>
          </w:p>
        </w:tc>
        <w:tc>
          <w:tcPr>
            <w:tcW w:w="3980" w:type="dxa"/>
            <w:tcBorders>
              <w:top w:val="single" w:sz="1" w:space="0" w:color="CCCCCC"/>
              <w:left w:val="single" w:sz="1" w:space="0" w:color="CCCCCC"/>
              <w:bottom w:val="single" w:sz="1" w:space="0" w:color="CCCCCC"/>
              <w:right w:val="single" w:sz="1" w:space="0" w:color="CCCCCC"/>
            </w:tcBorders>
            <w:shd w:val="clear" w:color="auto" w:fill="085041"/>
            <w:tcMar>
              <w:top w:w="70" w:type="dxa"/>
              <w:left w:w="100" w:type="dxa"/>
              <w:bottom w:w="70" w:type="dxa"/>
              <w:right w:w="100" w:type="dxa"/>
            </w:tcMar>
          </w:tcPr>
          <w:p w14:paraId="75DDB1CD" w14:textId="77777777" w:rsidR="00D9097F" w:rsidRDefault="00000000">
            <w:pPr>
              <w:spacing w:after="60"/>
            </w:pPr>
            <w:r>
              <w:rPr>
                <w:b/>
                <w:bCs/>
                <w:color w:val="FFFFFF"/>
                <w:sz w:val="15"/>
                <w:szCs w:val="15"/>
              </w:rPr>
              <w:t>Key Citation</w:t>
            </w:r>
          </w:p>
        </w:tc>
      </w:tr>
      <w:tr w:rsidR="00D9097F" w14:paraId="060AF3E4" w14:textId="77777777">
        <w:tc>
          <w:tcPr>
            <w:tcW w:w="5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3E156403" w14:textId="77777777" w:rsidR="00D9097F" w:rsidRDefault="00000000">
            <w:pPr>
              <w:spacing w:after="60"/>
            </w:pPr>
            <w:r>
              <w:rPr>
                <w:b/>
                <w:bCs/>
                <w:color w:val="085041"/>
                <w:sz w:val="14"/>
                <w:szCs w:val="14"/>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55AA8AF9" w14:textId="77777777" w:rsidR="00D9097F" w:rsidRDefault="00000000">
            <w:pPr>
              <w:spacing w:after="60"/>
            </w:pPr>
            <w:r>
              <w:rPr>
                <w:b/>
                <w:bCs/>
                <w:color w:val="085041"/>
                <w:sz w:val="14"/>
                <w:szCs w:val="14"/>
              </w:rPr>
              <w:t>Quality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AA26207" w14:textId="77777777" w:rsidR="00D9097F" w:rsidRDefault="00000000">
            <w:pPr>
              <w:spacing w:after="60"/>
            </w:pPr>
            <w:r>
              <w:rPr>
                <w:color w:val="333333"/>
                <w:sz w:val="14"/>
                <w:szCs w:val="14"/>
              </w:rPr>
              <w:t>Task Success Rate (TSR)</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12976BC8" w14:textId="77777777" w:rsidR="00D9097F" w:rsidRDefault="00000000">
            <w:pPr>
              <w:spacing w:after="60"/>
            </w:pPr>
            <w:r>
              <w:rPr>
                <w:b/>
                <w:bCs/>
                <w:color w:val="085041"/>
                <w:sz w:val="14"/>
                <w:szCs w:val="14"/>
              </w:rPr>
              <w:t>≥ 90%</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560E84D6" w14:textId="77777777" w:rsidR="00D9097F" w:rsidRDefault="00000000">
            <w:pPr>
              <w:spacing w:after="60"/>
            </w:pPr>
            <w:r>
              <w:rPr>
                <w:i/>
                <w:iCs/>
                <w:color w:val="555555"/>
                <w:sz w:val="13"/>
                <w:szCs w:val="13"/>
              </w:rPr>
              <w:t>Zendesk AI Benchmark Report 2024</w:t>
            </w:r>
          </w:p>
        </w:tc>
      </w:tr>
      <w:tr w:rsidR="00D9097F" w14:paraId="47EC57A7" w14:textId="77777777">
        <w:tc>
          <w:tcPr>
            <w:tcW w:w="5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6D3B25C0" w14:textId="77777777" w:rsidR="00D9097F" w:rsidRDefault="00000000">
            <w:pPr>
              <w:spacing w:after="60"/>
            </w:pPr>
            <w:r>
              <w:rPr>
                <w:b/>
                <w:bCs/>
                <w:color w:val="085041"/>
                <w:sz w:val="14"/>
                <w:szCs w:val="14"/>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1124323C" w14:textId="77777777" w:rsidR="00D9097F" w:rsidRDefault="00000000">
            <w:pPr>
              <w:spacing w:after="60"/>
            </w:pPr>
            <w:r>
              <w:rPr>
                <w:b/>
                <w:bCs/>
                <w:color w:val="085041"/>
                <w:sz w:val="14"/>
                <w:szCs w:val="14"/>
              </w:rPr>
              <w:t>Quality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4A7E876" w14:textId="77777777" w:rsidR="00D9097F" w:rsidRDefault="00000000">
            <w:pPr>
              <w:spacing w:after="60"/>
            </w:pPr>
            <w:r>
              <w:rPr>
                <w:color w:val="333333"/>
                <w:sz w:val="14"/>
                <w:szCs w:val="14"/>
              </w:rPr>
              <w:t>Answer Groundedness / Faithfulness</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288DC758" w14:textId="77777777" w:rsidR="00D9097F" w:rsidRDefault="00000000">
            <w:pPr>
              <w:spacing w:after="60"/>
            </w:pPr>
            <w:r>
              <w:rPr>
                <w:b/>
                <w:bCs/>
                <w:color w:val="085041"/>
                <w:sz w:val="14"/>
                <w:szCs w:val="14"/>
              </w:rPr>
              <w:t>≥ 95%</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2253197" w14:textId="1BDB5369" w:rsidR="00D9097F" w:rsidRDefault="008E1C16">
            <w:pPr>
              <w:spacing w:after="60"/>
            </w:pPr>
            <w:r>
              <w:rPr>
                <w:i/>
                <w:iCs/>
                <w:color w:val="555555"/>
                <w:sz w:val="13"/>
                <w:szCs w:val="13"/>
              </w:rPr>
              <w:t xml:space="preserve">NIIT + </w:t>
            </w:r>
            <w:r w:rsidR="00000000">
              <w:rPr>
                <w:i/>
                <w:iCs/>
                <w:color w:val="555555"/>
                <w:sz w:val="13"/>
                <w:szCs w:val="13"/>
              </w:rPr>
              <w:t>RAGAS Evaluation Framework</w:t>
            </w:r>
          </w:p>
        </w:tc>
      </w:tr>
      <w:tr w:rsidR="00D9097F" w14:paraId="1A2AF36C" w14:textId="77777777">
        <w:tc>
          <w:tcPr>
            <w:tcW w:w="5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50EB8DCA" w14:textId="77777777" w:rsidR="00D9097F" w:rsidRDefault="00000000">
            <w:pPr>
              <w:spacing w:after="60"/>
            </w:pPr>
            <w:r>
              <w:rPr>
                <w:b/>
                <w:bCs/>
                <w:color w:val="085041"/>
                <w:sz w:val="14"/>
                <w:szCs w:val="14"/>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77AB5C57" w14:textId="77777777" w:rsidR="00D9097F" w:rsidRDefault="00000000">
            <w:pPr>
              <w:spacing w:after="60"/>
            </w:pPr>
            <w:r>
              <w:rPr>
                <w:b/>
                <w:bCs/>
                <w:color w:val="085041"/>
                <w:sz w:val="14"/>
                <w:szCs w:val="14"/>
              </w:rPr>
              <w:t>Quality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4026D45" w14:textId="77777777" w:rsidR="00D9097F" w:rsidRDefault="00000000">
            <w:pPr>
              <w:spacing w:after="60"/>
            </w:pPr>
            <w:r>
              <w:rPr>
                <w:color w:val="333333"/>
                <w:sz w:val="14"/>
                <w:szCs w:val="14"/>
              </w:rPr>
              <w:t>Structured SQL Correctness</w:t>
            </w:r>
          </w:p>
        </w:tc>
        <w:tc>
          <w:tcPr>
            <w:tcW w:w="2200" w:type="dxa"/>
            <w:tcBorders>
              <w:top w:val="single" w:sz="1" w:space="0" w:color="CCCCCC"/>
              <w:left w:val="single" w:sz="1" w:space="0" w:color="CCCCCC"/>
              <w:bottom w:val="single" w:sz="1" w:space="0" w:color="CCCCCC"/>
              <w:right w:val="single" w:sz="1" w:space="0" w:color="CCCCCC"/>
            </w:tcBorders>
            <w:shd w:val="clear" w:color="auto" w:fill="E1F5EE"/>
            <w:tcMar>
              <w:top w:w="55" w:type="dxa"/>
              <w:left w:w="90" w:type="dxa"/>
              <w:bottom w:w="55" w:type="dxa"/>
              <w:right w:w="90" w:type="dxa"/>
            </w:tcMar>
          </w:tcPr>
          <w:p w14:paraId="6C26A6B0" w14:textId="77777777" w:rsidR="00D9097F" w:rsidRDefault="00000000">
            <w:pPr>
              <w:spacing w:after="60"/>
            </w:pPr>
            <w:r>
              <w:rPr>
                <w:b/>
                <w:bCs/>
                <w:color w:val="085041"/>
                <w:sz w:val="14"/>
                <w:szCs w:val="14"/>
              </w:rPr>
              <w:t>≥ 95%</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21D597BD" w14:textId="77777777" w:rsidR="00D9097F" w:rsidRDefault="00000000">
            <w:pPr>
              <w:spacing w:after="60"/>
            </w:pPr>
            <w:r>
              <w:rPr>
                <w:i/>
                <w:iCs/>
                <w:color w:val="555555"/>
                <w:sz w:val="13"/>
                <w:szCs w:val="13"/>
              </w:rPr>
              <w:t>BIRD Benchmark — NeurIPS 2023</w:t>
            </w:r>
          </w:p>
        </w:tc>
      </w:tr>
      <w:tr w:rsidR="008D6229" w14:paraId="74CBFBD1" w14:textId="77777777" w:rsidTr="008D62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 w:type="dxa"/>
            <w:tcBorders>
              <w:top w:val="nil"/>
              <w:left w:val="single" w:sz="8" w:space="0" w:color="CCCCCC"/>
              <w:bottom w:val="single" w:sz="8" w:space="0" w:color="CCCCCC"/>
              <w:right w:val="single" w:sz="8" w:space="0" w:color="CCCCCC"/>
            </w:tcBorders>
            <w:shd w:val="clear" w:color="auto" w:fill="E1F5EE"/>
            <w:tcMar>
              <w:top w:w="55" w:type="dxa"/>
              <w:left w:w="90" w:type="dxa"/>
              <w:bottom w:w="55" w:type="dxa"/>
              <w:right w:w="90" w:type="dxa"/>
            </w:tcMar>
            <w:hideMark/>
          </w:tcPr>
          <w:p w14:paraId="04468DAD" w14:textId="77777777" w:rsidR="008D6229" w:rsidRDefault="008D6229">
            <w:pPr>
              <w:spacing w:after="60"/>
              <w:rPr>
                <w:kern w:val="2"/>
                <w14:ligatures w14:val="standardContextual"/>
              </w:rPr>
            </w:pPr>
            <w:r>
              <w:rPr>
                <w:b/>
                <w:bCs/>
                <w:color w:val="085041"/>
                <w:sz w:val="14"/>
                <w:szCs w:val="14"/>
              </w:rPr>
              <w:t>#4</w:t>
            </w:r>
          </w:p>
        </w:tc>
        <w:tc>
          <w:tcPr>
            <w:tcW w:w="1200" w:type="dxa"/>
            <w:tcBorders>
              <w:top w:val="nil"/>
              <w:left w:val="nil"/>
              <w:bottom w:val="single" w:sz="8" w:space="0" w:color="CCCCCC"/>
              <w:right w:val="single" w:sz="8" w:space="0" w:color="CCCCCC"/>
            </w:tcBorders>
            <w:shd w:val="clear" w:color="auto" w:fill="E1F5EE"/>
            <w:tcMar>
              <w:top w:w="55" w:type="dxa"/>
              <w:left w:w="90" w:type="dxa"/>
              <w:bottom w:w="55" w:type="dxa"/>
              <w:right w:w="90" w:type="dxa"/>
            </w:tcMar>
            <w:hideMark/>
          </w:tcPr>
          <w:p w14:paraId="21B5D7FA" w14:textId="77777777" w:rsidR="008D6229" w:rsidRDefault="008D6229">
            <w:pPr>
              <w:spacing w:after="60"/>
            </w:pPr>
            <w:r>
              <w:rPr>
                <w:b/>
                <w:bCs/>
                <w:color w:val="085041"/>
                <w:sz w:val="14"/>
                <w:szCs w:val="14"/>
              </w:rPr>
              <w:t>Quality</w:t>
            </w:r>
          </w:p>
        </w:tc>
        <w:tc>
          <w:tcPr>
            <w:tcW w:w="1480" w:type="dxa"/>
            <w:tcBorders>
              <w:top w:val="nil"/>
              <w:left w:val="nil"/>
              <w:bottom w:val="single" w:sz="8" w:space="0" w:color="CCCCCC"/>
              <w:right w:val="single" w:sz="8" w:space="0" w:color="CCCCCC"/>
            </w:tcBorders>
            <w:shd w:val="clear" w:color="auto" w:fill="FFFFFF"/>
            <w:tcMar>
              <w:top w:w="55" w:type="dxa"/>
              <w:left w:w="90" w:type="dxa"/>
              <w:bottom w:w="55" w:type="dxa"/>
              <w:right w:w="90" w:type="dxa"/>
            </w:tcMar>
            <w:hideMark/>
          </w:tcPr>
          <w:p w14:paraId="582B5927" w14:textId="77777777" w:rsidR="008D6229" w:rsidRDefault="008D6229">
            <w:pPr>
              <w:spacing w:after="60"/>
            </w:pPr>
            <w:r>
              <w:rPr>
                <w:color w:val="333333"/>
                <w:sz w:val="14"/>
                <w:szCs w:val="14"/>
              </w:rPr>
              <w:t>Answer Relevance</w:t>
            </w:r>
          </w:p>
        </w:tc>
        <w:tc>
          <w:tcPr>
            <w:tcW w:w="2200" w:type="dxa"/>
            <w:tcBorders>
              <w:top w:val="nil"/>
              <w:left w:val="nil"/>
              <w:bottom w:val="single" w:sz="8" w:space="0" w:color="CCCCCC"/>
              <w:right w:val="single" w:sz="8" w:space="0" w:color="CCCCCC"/>
            </w:tcBorders>
            <w:shd w:val="clear" w:color="auto" w:fill="E1F5EE"/>
            <w:tcMar>
              <w:top w:w="55" w:type="dxa"/>
              <w:left w:w="90" w:type="dxa"/>
              <w:bottom w:w="55" w:type="dxa"/>
              <w:right w:w="90" w:type="dxa"/>
            </w:tcMar>
            <w:hideMark/>
          </w:tcPr>
          <w:p w14:paraId="12080403" w14:textId="77777777" w:rsidR="008D6229" w:rsidRDefault="008D6229">
            <w:pPr>
              <w:spacing w:after="60"/>
            </w:pPr>
            <w:r>
              <w:rPr>
                <w:b/>
                <w:bCs/>
                <w:color w:val="085041"/>
                <w:sz w:val="14"/>
                <w:szCs w:val="14"/>
              </w:rPr>
              <w:t>≥ 0.85</w:t>
            </w:r>
          </w:p>
        </w:tc>
        <w:tc>
          <w:tcPr>
            <w:tcW w:w="3980" w:type="dxa"/>
            <w:tcBorders>
              <w:top w:val="nil"/>
              <w:left w:val="nil"/>
              <w:bottom w:val="single" w:sz="8" w:space="0" w:color="CCCCCC"/>
              <w:right w:val="single" w:sz="8" w:space="0" w:color="CCCCCC"/>
            </w:tcBorders>
            <w:shd w:val="clear" w:color="auto" w:fill="FFFFFF"/>
            <w:tcMar>
              <w:top w:w="55" w:type="dxa"/>
              <w:left w:w="90" w:type="dxa"/>
              <w:bottom w:w="55" w:type="dxa"/>
              <w:right w:w="90" w:type="dxa"/>
            </w:tcMar>
            <w:hideMark/>
          </w:tcPr>
          <w:p w14:paraId="588EAE92" w14:textId="38A37FA6" w:rsidR="008D6229" w:rsidRDefault="008E1C16">
            <w:pPr>
              <w:spacing w:after="60"/>
            </w:pPr>
            <w:r>
              <w:rPr>
                <w:i/>
                <w:iCs/>
                <w:color w:val="555555"/>
                <w:sz w:val="13"/>
                <w:szCs w:val="13"/>
              </w:rPr>
              <w:t xml:space="preserve">NIIT + </w:t>
            </w:r>
            <w:r w:rsidR="008D6229">
              <w:rPr>
                <w:i/>
                <w:iCs/>
                <w:color w:val="555555"/>
                <w:sz w:val="13"/>
                <w:szCs w:val="13"/>
              </w:rPr>
              <w:t>RAGAS Evaluation Framework</w:t>
            </w:r>
          </w:p>
        </w:tc>
      </w:tr>
      <w:tr w:rsidR="00D9097F" w14:paraId="3F31EA8E" w14:textId="77777777">
        <w:tc>
          <w:tcPr>
            <w:tcW w:w="500" w:type="dxa"/>
            <w:tcBorders>
              <w:top w:val="single" w:sz="1" w:space="0" w:color="CCCCCC"/>
              <w:left w:val="single" w:sz="1" w:space="0" w:color="CCCCCC"/>
              <w:bottom w:val="single" w:sz="1" w:space="0" w:color="CCCCCC"/>
              <w:right w:val="single" w:sz="1" w:space="0" w:color="CCCCCC"/>
            </w:tcBorders>
            <w:shd w:val="clear" w:color="auto" w:fill="E6F1FB"/>
            <w:tcMar>
              <w:top w:w="55" w:type="dxa"/>
              <w:left w:w="90" w:type="dxa"/>
              <w:bottom w:w="55" w:type="dxa"/>
              <w:right w:w="90" w:type="dxa"/>
            </w:tcMar>
          </w:tcPr>
          <w:p w14:paraId="7CC92DD4" w14:textId="77777777" w:rsidR="00D9097F" w:rsidRDefault="00000000">
            <w:pPr>
              <w:spacing w:after="60"/>
            </w:pPr>
            <w:r>
              <w:rPr>
                <w:b/>
                <w:bCs/>
                <w:color w:val="0C447C"/>
                <w:sz w:val="14"/>
                <w:szCs w:val="14"/>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5" w:type="dxa"/>
              <w:left w:w="90" w:type="dxa"/>
              <w:bottom w:w="55" w:type="dxa"/>
              <w:right w:w="90" w:type="dxa"/>
            </w:tcMar>
          </w:tcPr>
          <w:p w14:paraId="4CF015AD" w14:textId="77777777" w:rsidR="00D9097F" w:rsidRDefault="00000000">
            <w:pPr>
              <w:spacing w:after="60"/>
            </w:pPr>
            <w:r>
              <w:rPr>
                <w:b/>
                <w:bCs/>
                <w:color w:val="0C447C"/>
                <w:sz w:val="14"/>
                <w:szCs w:val="14"/>
              </w:rPr>
              <w:t>Speed</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17C6AD6" w14:textId="77777777" w:rsidR="00D9097F" w:rsidRDefault="00000000">
            <w:pPr>
              <w:spacing w:after="60"/>
            </w:pPr>
            <w:r>
              <w:rPr>
                <w:color w:val="333333"/>
                <w:sz w:val="14"/>
                <w:szCs w:val="14"/>
              </w:rPr>
              <w:t>P95 Latency — Standard Routes (RAG / SQL / Hybrid)</w:t>
            </w:r>
          </w:p>
        </w:tc>
        <w:tc>
          <w:tcPr>
            <w:tcW w:w="2200" w:type="dxa"/>
            <w:tcBorders>
              <w:top w:val="single" w:sz="1" w:space="0" w:color="CCCCCC"/>
              <w:left w:val="single" w:sz="1" w:space="0" w:color="CCCCCC"/>
              <w:bottom w:val="single" w:sz="1" w:space="0" w:color="CCCCCC"/>
              <w:right w:val="single" w:sz="1" w:space="0" w:color="CCCCCC"/>
            </w:tcBorders>
            <w:shd w:val="clear" w:color="auto" w:fill="E6F1FB"/>
            <w:tcMar>
              <w:top w:w="55" w:type="dxa"/>
              <w:left w:w="90" w:type="dxa"/>
              <w:bottom w:w="55" w:type="dxa"/>
              <w:right w:w="90" w:type="dxa"/>
            </w:tcMar>
          </w:tcPr>
          <w:p w14:paraId="0D1B572E" w14:textId="77777777" w:rsidR="00D9097F" w:rsidRDefault="00000000">
            <w:pPr>
              <w:spacing w:after="60"/>
            </w:pPr>
            <w:r>
              <w:rPr>
                <w:b/>
                <w:bCs/>
                <w:color w:val="0C447C"/>
                <w:sz w:val="14"/>
                <w:szCs w:val="14"/>
              </w:rPr>
              <w:t>≤ 5s</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6CEC4577" w14:textId="77777777" w:rsidR="00D9097F" w:rsidRDefault="00000000">
            <w:pPr>
              <w:spacing w:after="60"/>
            </w:pPr>
            <w:r>
              <w:rPr>
                <w:i/>
                <w:iCs/>
                <w:color w:val="555555"/>
                <w:sz w:val="13"/>
                <w:szCs w:val="13"/>
              </w:rPr>
              <w:t>NIIT Capstone Specification + Microsoft Azure AI</w:t>
            </w:r>
          </w:p>
        </w:tc>
      </w:tr>
      <w:tr w:rsidR="00D9097F" w14:paraId="177227CD" w14:textId="77777777">
        <w:tc>
          <w:tcPr>
            <w:tcW w:w="500" w:type="dxa"/>
            <w:tcBorders>
              <w:top w:val="single" w:sz="1" w:space="0" w:color="CCCCCC"/>
              <w:left w:val="single" w:sz="1" w:space="0" w:color="CCCCCC"/>
              <w:bottom w:val="single" w:sz="1" w:space="0" w:color="CCCCCC"/>
              <w:right w:val="single" w:sz="1" w:space="0" w:color="CCCCCC"/>
            </w:tcBorders>
            <w:shd w:val="clear" w:color="auto" w:fill="E6F1FB"/>
            <w:tcMar>
              <w:top w:w="55" w:type="dxa"/>
              <w:left w:w="90" w:type="dxa"/>
              <w:bottom w:w="55" w:type="dxa"/>
              <w:right w:w="90" w:type="dxa"/>
            </w:tcMar>
          </w:tcPr>
          <w:p w14:paraId="79001B08" w14:textId="77777777" w:rsidR="00D9097F" w:rsidRDefault="00000000">
            <w:pPr>
              <w:spacing w:after="60"/>
            </w:pPr>
            <w:r>
              <w:rPr>
                <w:b/>
                <w:bCs/>
                <w:color w:val="0C447C"/>
                <w:sz w:val="14"/>
                <w:szCs w:val="14"/>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E6F1FB"/>
            <w:tcMar>
              <w:top w:w="55" w:type="dxa"/>
              <w:left w:w="90" w:type="dxa"/>
              <w:bottom w:w="55" w:type="dxa"/>
              <w:right w:w="90" w:type="dxa"/>
            </w:tcMar>
          </w:tcPr>
          <w:p w14:paraId="1419ECC2" w14:textId="77777777" w:rsidR="00D9097F" w:rsidRDefault="00000000">
            <w:pPr>
              <w:spacing w:after="60"/>
            </w:pPr>
            <w:r>
              <w:rPr>
                <w:b/>
                <w:bCs/>
                <w:color w:val="0C447C"/>
                <w:sz w:val="14"/>
                <w:szCs w:val="14"/>
              </w:rPr>
              <w:t>Speed</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19C82DA" w14:textId="77777777" w:rsidR="00D9097F" w:rsidRDefault="00000000">
            <w:pPr>
              <w:spacing w:after="60"/>
            </w:pPr>
            <w:r>
              <w:rPr>
                <w:color w:val="333333"/>
                <w:sz w:val="14"/>
                <w:szCs w:val="14"/>
              </w:rPr>
              <w:t>P95 Latency — Multi-Agent Validation Route</w:t>
            </w:r>
          </w:p>
        </w:tc>
        <w:tc>
          <w:tcPr>
            <w:tcW w:w="2200" w:type="dxa"/>
            <w:tcBorders>
              <w:top w:val="single" w:sz="1" w:space="0" w:color="CCCCCC"/>
              <w:left w:val="single" w:sz="1" w:space="0" w:color="CCCCCC"/>
              <w:bottom w:val="single" w:sz="1" w:space="0" w:color="CCCCCC"/>
              <w:right w:val="single" w:sz="1" w:space="0" w:color="CCCCCC"/>
            </w:tcBorders>
            <w:shd w:val="clear" w:color="auto" w:fill="E6F1FB"/>
            <w:tcMar>
              <w:top w:w="55" w:type="dxa"/>
              <w:left w:w="90" w:type="dxa"/>
              <w:bottom w:w="55" w:type="dxa"/>
              <w:right w:w="90" w:type="dxa"/>
            </w:tcMar>
          </w:tcPr>
          <w:p w14:paraId="2C54BDC3" w14:textId="77777777" w:rsidR="00D9097F" w:rsidRDefault="00000000">
            <w:pPr>
              <w:spacing w:after="60"/>
            </w:pPr>
            <w:r>
              <w:rPr>
                <w:b/>
                <w:bCs/>
                <w:color w:val="0C447C"/>
                <w:sz w:val="14"/>
                <w:szCs w:val="14"/>
              </w:rPr>
              <w:t>≤ 10s</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A00B024" w14:textId="77777777" w:rsidR="00D9097F" w:rsidRDefault="00000000">
            <w:pPr>
              <w:spacing w:after="60"/>
            </w:pPr>
            <w:r>
              <w:rPr>
                <w:i/>
                <w:iCs/>
                <w:color w:val="555555"/>
                <w:sz w:val="13"/>
                <w:szCs w:val="13"/>
              </w:rPr>
              <w:t>PagerDuty Operations Cloud Benchmark 2024</w:t>
            </w:r>
          </w:p>
        </w:tc>
      </w:tr>
      <w:tr w:rsidR="00D9097F" w14:paraId="337C3E86" w14:textId="77777777">
        <w:tc>
          <w:tcPr>
            <w:tcW w:w="500" w:type="dxa"/>
            <w:tcBorders>
              <w:top w:val="single" w:sz="1" w:space="0" w:color="CCCCCC"/>
              <w:left w:val="single" w:sz="1" w:space="0" w:color="CCCCCC"/>
              <w:bottom w:val="single" w:sz="1" w:space="0" w:color="CCCCCC"/>
              <w:right w:val="single" w:sz="1" w:space="0" w:color="CCCCCC"/>
            </w:tcBorders>
            <w:shd w:val="clear" w:color="auto" w:fill="EEEDFE"/>
            <w:tcMar>
              <w:top w:w="55" w:type="dxa"/>
              <w:left w:w="90" w:type="dxa"/>
              <w:bottom w:w="55" w:type="dxa"/>
              <w:right w:w="90" w:type="dxa"/>
            </w:tcMar>
          </w:tcPr>
          <w:p w14:paraId="116DAB55" w14:textId="77777777" w:rsidR="00D9097F" w:rsidRDefault="00000000">
            <w:pPr>
              <w:spacing w:after="60"/>
            </w:pPr>
            <w:r>
              <w:rPr>
                <w:b/>
                <w:bCs/>
                <w:color w:val="3C3489"/>
                <w:sz w:val="14"/>
                <w:szCs w:val="14"/>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EEEDFE"/>
            <w:tcMar>
              <w:top w:w="55" w:type="dxa"/>
              <w:left w:w="90" w:type="dxa"/>
              <w:bottom w:w="55" w:type="dxa"/>
              <w:right w:w="90" w:type="dxa"/>
            </w:tcMar>
          </w:tcPr>
          <w:p w14:paraId="375296C6" w14:textId="77777777" w:rsidR="00D9097F" w:rsidRDefault="00000000">
            <w:pPr>
              <w:spacing w:after="60"/>
            </w:pPr>
            <w:r>
              <w:rPr>
                <w:b/>
                <w:bCs/>
                <w:color w:val="3C3489"/>
                <w:sz w:val="14"/>
                <w:szCs w:val="14"/>
              </w:rPr>
              <w:t>Retrieval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66EFAED" w14:textId="77777777" w:rsidR="00D9097F" w:rsidRDefault="00000000">
            <w:pPr>
              <w:spacing w:after="60"/>
            </w:pPr>
            <w:r>
              <w:rPr>
                <w:color w:val="333333"/>
                <w:sz w:val="14"/>
                <w:szCs w:val="14"/>
              </w:rPr>
              <w:t>Retrieval Quality (Recall@5)</w:t>
            </w:r>
          </w:p>
        </w:tc>
        <w:tc>
          <w:tcPr>
            <w:tcW w:w="2200" w:type="dxa"/>
            <w:tcBorders>
              <w:top w:val="single" w:sz="1" w:space="0" w:color="CCCCCC"/>
              <w:left w:val="single" w:sz="1" w:space="0" w:color="CCCCCC"/>
              <w:bottom w:val="single" w:sz="1" w:space="0" w:color="CCCCCC"/>
              <w:right w:val="single" w:sz="1" w:space="0" w:color="CCCCCC"/>
            </w:tcBorders>
            <w:shd w:val="clear" w:color="auto" w:fill="EEEDFE"/>
            <w:tcMar>
              <w:top w:w="55" w:type="dxa"/>
              <w:left w:w="90" w:type="dxa"/>
              <w:bottom w:w="55" w:type="dxa"/>
              <w:right w:w="90" w:type="dxa"/>
            </w:tcMar>
          </w:tcPr>
          <w:p w14:paraId="1A9D3D80" w14:textId="77777777" w:rsidR="00D9097F" w:rsidRDefault="00000000">
            <w:pPr>
              <w:spacing w:after="60"/>
            </w:pPr>
            <w:r>
              <w:rPr>
                <w:b/>
                <w:bCs/>
                <w:color w:val="3C3489"/>
                <w:sz w:val="14"/>
                <w:szCs w:val="14"/>
              </w:rPr>
              <w:t>≥ 90%</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1D4D2474" w14:textId="77777777" w:rsidR="00D9097F" w:rsidRDefault="00000000">
            <w:pPr>
              <w:spacing w:after="60"/>
            </w:pPr>
            <w:r>
              <w:rPr>
                <w:i/>
                <w:iCs/>
                <w:color w:val="555555"/>
                <w:sz w:val="13"/>
                <w:szCs w:val="13"/>
              </w:rPr>
              <w:t>BEIR Benchmark — NeurIPS 2021</w:t>
            </w:r>
          </w:p>
        </w:tc>
      </w:tr>
      <w:tr w:rsidR="00D9097F" w14:paraId="3F76E3C5" w14:textId="77777777">
        <w:tc>
          <w:tcPr>
            <w:tcW w:w="500" w:type="dxa"/>
            <w:tcBorders>
              <w:top w:val="single" w:sz="1" w:space="0" w:color="CCCCCC"/>
              <w:left w:val="single" w:sz="1" w:space="0" w:color="CCCCCC"/>
              <w:bottom w:val="single" w:sz="1" w:space="0" w:color="CCCCCC"/>
              <w:right w:val="single" w:sz="1" w:space="0" w:color="CCCCCC"/>
            </w:tcBorders>
            <w:shd w:val="clear" w:color="auto" w:fill="EEEDFE"/>
            <w:tcMar>
              <w:top w:w="55" w:type="dxa"/>
              <w:left w:w="90" w:type="dxa"/>
              <w:bottom w:w="55" w:type="dxa"/>
              <w:right w:w="90" w:type="dxa"/>
            </w:tcMar>
          </w:tcPr>
          <w:p w14:paraId="40775FFD" w14:textId="77777777" w:rsidR="00D9097F" w:rsidRDefault="00000000">
            <w:pPr>
              <w:spacing w:after="60"/>
            </w:pPr>
            <w:r>
              <w:rPr>
                <w:b/>
                <w:bCs/>
                <w:color w:val="3C3489"/>
                <w:sz w:val="14"/>
                <w:szCs w:val="14"/>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EEDFE"/>
            <w:tcMar>
              <w:top w:w="55" w:type="dxa"/>
              <w:left w:w="90" w:type="dxa"/>
              <w:bottom w:w="55" w:type="dxa"/>
              <w:right w:w="90" w:type="dxa"/>
            </w:tcMar>
          </w:tcPr>
          <w:p w14:paraId="3EAA476D" w14:textId="77777777" w:rsidR="00D9097F" w:rsidRDefault="00000000">
            <w:pPr>
              <w:spacing w:after="60"/>
            </w:pPr>
            <w:r>
              <w:rPr>
                <w:b/>
                <w:bCs/>
                <w:color w:val="3C3489"/>
                <w:sz w:val="14"/>
                <w:szCs w:val="14"/>
              </w:rPr>
              <w:t>Retrieval</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2582E443" w14:textId="77777777" w:rsidR="00D9097F" w:rsidRDefault="00000000">
            <w:pPr>
              <w:spacing w:after="60"/>
            </w:pPr>
            <w:r>
              <w:rPr>
                <w:color w:val="333333"/>
                <w:sz w:val="14"/>
                <w:szCs w:val="14"/>
              </w:rPr>
              <w:t>Source Attribution Rate</w:t>
            </w:r>
          </w:p>
        </w:tc>
        <w:tc>
          <w:tcPr>
            <w:tcW w:w="2200" w:type="dxa"/>
            <w:tcBorders>
              <w:top w:val="single" w:sz="1" w:space="0" w:color="CCCCCC"/>
              <w:left w:val="single" w:sz="1" w:space="0" w:color="CCCCCC"/>
              <w:bottom w:val="single" w:sz="1" w:space="0" w:color="CCCCCC"/>
              <w:right w:val="single" w:sz="1" w:space="0" w:color="CCCCCC"/>
            </w:tcBorders>
            <w:shd w:val="clear" w:color="auto" w:fill="EEEDFE"/>
            <w:tcMar>
              <w:top w:w="55" w:type="dxa"/>
              <w:left w:w="90" w:type="dxa"/>
              <w:bottom w:w="55" w:type="dxa"/>
              <w:right w:w="90" w:type="dxa"/>
            </w:tcMar>
          </w:tcPr>
          <w:p w14:paraId="297B92A4" w14:textId="77777777" w:rsidR="00D9097F" w:rsidRDefault="00000000">
            <w:pPr>
              <w:spacing w:after="60"/>
            </w:pPr>
            <w:r>
              <w:rPr>
                <w:b/>
                <w:bCs/>
                <w:color w:val="3C3489"/>
                <w:sz w:val="14"/>
                <w:szCs w:val="14"/>
              </w:rPr>
              <w:t>100% of RAG answers include ≥ 1 citation</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4B56F2E" w14:textId="77777777" w:rsidR="00D9097F" w:rsidRDefault="00000000">
            <w:pPr>
              <w:spacing w:after="60"/>
            </w:pPr>
            <w:r>
              <w:rPr>
                <w:i/>
                <w:iCs/>
                <w:color w:val="555555"/>
                <w:sz w:val="13"/>
                <w:szCs w:val="13"/>
              </w:rPr>
              <w:t>EU AI Act (2024) — Article 13</w:t>
            </w:r>
          </w:p>
        </w:tc>
      </w:tr>
      <w:tr w:rsidR="008D6229" w14:paraId="6A2A4B14" w14:textId="77777777" w:rsidTr="008D622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500" w:type="dxa"/>
            <w:tcBorders>
              <w:top w:val="nil"/>
              <w:left w:val="single" w:sz="8" w:space="0" w:color="CCCCCC"/>
              <w:bottom w:val="single" w:sz="8" w:space="0" w:color="CCCCCC"/>
              <w:right w:val="single" w:sz="8" w:space="0" w:color="CCCCCC"/>
            </w:tcBorders>
            <w:shd w:val="clear" w:color="auto" w:fill="EEEDFE"/>
            <w:tcMar>
              <w:top w:w="55" w:type="dxa"/>
              <w:left w:w="90" w:type="dxa"/>
              <w:bottom w:w="55" w:type="dxa"/>
              <w:right w:w="90" w:type="dxa"/>
            </w:tcMar>
            <w:hideMark/>
          </w:tcPr>
          <w:p w14:paraId="35F65400" w14:textId="77777777" w:rsidR="008D6229" w:rsidRDefault="008D6229">
            <w:pPr>
              <w:spacing w:after="60"/>
              <w:rPr>
                <w:kern w:val="2"/>
                <w14:ligatures w14:val="standardContextual"/>
              </w:rPr>
            </w:pPr>
            <w:r>
              <w:rPr>
                <w:b/>
                <w:bCs/>
                <w:color w:val="3C3489"/>
                <w:sz w:val="14"/>
                <w:szCs w:val="14"/>
              </w:rPr>
              <w:t>#9</w:t>
            </w:r>
          </w:p>
        </w:tc>
        <w:tc>
          <w:tcPr>
            <w:tcW w:w="1200" w:type="dxa"/>
            <w:tcBorders>
              <w:top w:val="nil"/>
              <w:left w:val="nil"/>
              <w:bottom w:val="single" w:sz="8" w:space="0" w:color="CCCCCC"/>
              <w:right w:val="single" w:sz="8" w:space="0" w:color="CCCCCC"/>
            </w:tcBorders>
            <w:shd w:val="clear" w:color="auto" w:fill="EEEDFE"/>
            <w:tcMar>
              <w:top w:w="55" w:type="dxa"/>
              <w:left w:w="90" w:type="dxa"/>
              <w:bottom w:w="55" w:type="dxa"/>
              <w:right w:w="90" w:type="dxa"/>
            </w:tcMar>
            <w:hideMark/>
          </w:tcPr>
          <w:p w14:paraId="460151A0" w14:textId="77777777" w:rsidR="008D6229" w:rsidRDefault="008D6229">
            <w:pPr>
              <w:spacing w:after="60"/>
            </w:pPr>
            <w:r>
              <w:rPr>
                <w:b/>
                <w:bCs/>
                <w:color w:val="3C3489"/>
                <w:sz w:val="14"/>
                <w:szCs w:val="14"/>
              </w:rPr>
              <w:t>Retrieval</w:t>
            </w:r>
          </w:p>
        </w:tc>
        <w:tc>
          <w:tcPr>
            <w:tcW w:w="1480" w:type="dxa"/>
            <w:tcBorders>
              <w:top w:val="nil"/>
              <w:left w:val="nil"/>
              <w:bottom w:val="single" w:sz="8" w:space="0" w:color="CCCCCC"/>
              <w:right w:val="single" w:sz="8" w:space="0" w:color="CCCCCC"/>
            </w:tcBorders>
            <w:shd w:val="clear" w:color="auto" w:fill="FFFFFF"/>
            <w:tcMar>
              <w:top w:w="55" w:type="dxa"/>
              <w:left w:w="90" w:type="dxa"/>
              <w:bottom w:w="55" w:type="dxa"/>
              <w:right w:w="90" w:type="dxa"/>
            </w:tcMar>
            <w:hideMark/>
          </w:tcPr>
          <w:p w14:paraId="3BA547DC" w14:textId="77777777" w:rsidR="008D6229" w:rsidRDefault="008D6229">
            <w:pPr>
              <w:spacing w:after="60"/>
            </w:pPr>
            <w:r>
              <w:rPr>
                <w:color w:val="333333"/>
                <w:sz w:val="14"/>
                <w:szCs w:val="14"/>
              </w:rPr>
              <w:t>Context Precision</w:t>
            </w:r>
          </w:p>
        </w:tc>
        <w:tc>
          <w:tcPr>
            <w:tcW w:w="2200" w:type="dxa"/>
            <w:tcBorders>
              <w:top w:val="nil"/>
              <w:left w:val="nil"/>
              <w:bottom w:val="single" w:sz="8" w:space="0" w:color="CCCCCC"/>
              <w:right w:val="single" w:sz="8" w:space="0" w:color="CCCCCC"/>
            </w:tcBorders>
            <w:shd w:val="clear" w:color="auto" w:fill="EEEDFE"/>
            <w:tcMar>
              <w:top w:w="55" w:type="dxa"/>
              <w:left w:w="90" w:type="dxa"/>
              <w:bottom w:w="55" w:type="dxa"/>
              <w:right w:w="90" w:type="dxa"/>
            </w:tcMar>
            <w:hideMark/>
          </w:tcPr>
          <w:p w14:paraId="4EC28981" w14:textId="77777777" w:rsidR="008D6229" w:rsidRDefault="008D6229">
            <w:pPr>
              <w:spacing w:after="60"/>
            </w:pPr>
            <w:r>
              <w:rPr>
                <w:b/>
                <w:bCs/>
                <w:color w:val="3C3489"/>
                <w:sz w:val="14"/>
                <w:szCs w:val="14"/>
              </w:rPr>
              <w:t>≥ 0.80</w:t>
            </w:r>
          </w:p>
        </w:tc>
        <w:tc>
          <w:tcPr>
            <w:tcW w:w="3980" w:type="dxa"/>
            <w:tcBorders>
              <w:top w:val="nil"/>
              <w:left w:val="nil"/>
              <w:bottom w:val="single" w:sz="8" w:space="0" w:color="CCCCCC"/>
              <w:right w:val="single" w:sz="8" w:space="0" w:color="CCCCCC"/>
            </w:tcBorders>
            <w:shd w:val="clear" w:color="auto" w:fill="FFFFFF"/>
            <w:tcMar>
              <w:top w:w="55" w:type="dxa"/>
              <w:left w:w="90" w:type="dxa"/>
              <w:bottom w:w="55" w:type="dxa"/>
              <w:right w:w="90" w:type="dxa"/>
            </w:tcMar>
            <w:hideMark/>
          </w:tcPr>
          <w:p w14:paraId="1821F7C0" w14:textId="77777777" w:rsidR="008D6229" w:rsidRDefault="008D6229">
            <w:pPr>
              <w:spacing w:after="60"/>
            </w:pPr>
            <w:r>
              <w:rPr>
                <w:i/>
                <w:iCs/>
                <w:color w:val="555555"/>
                <w:sz w:val="13"/>
                <w:szCs w:val="13"/>
              </w:rPr>
              <w:t>RAGAS Evaluation Framework</w:t>
            </w:r>
          </w:p>
        </w:tc>
      </w:tr>
      <w:tr w:rsidR="00D9097F" w14:paraId="5470B0A4" w14:textId="77777777">
        <w:tc>
          <w:tcPr>
            <w:tcW w:w="5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4F0CCEE9" w14:textId="77777777" w:rsidR="00D9097F" w:rsidRDefault="00000000">
            <w:pPr>
              <w:spacing w:after="60"/>
            </w:pPr>
            <w:r>
              <w:rPr>
                <w:b/>
                <w:bCs/>
                <w:color w:val="712B13"/>
                <w:sz w:val="14"/>
                <w:szCs w:val="14"/>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396AB263" w14:textId="77777777" w:rsidR="00D9097F" w:rsidRDefault="00000000">
            <w:pPr>
              <w:spacing w:after="60"/>
            </w:pPr>
            <w:r>
              <w:rPr>
                <w:b/>
                <w:bCs/>
                <w:color w:val="712B13"/>
                <w:sz w:val="14"/>
                <w:szCs w:val="14"/>
              </w:rPr>
              <w:t>Safety &amp; Security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D4A4F77" w14:textId="77777777" w:rsidR="00D9097F" w:rsidRDefault="00000000">
            <w:pPr>
              <w:spacing w:after="60"/>
            </w:pPr>
            <w:r>
              <w:rPr>
                <w:color w:val="333333"/>
                <w:sz w:val="14"/>
                <w:szCs w:val="14"/>
              </w:rPr>
              <w:t>Critical Incident Misclassification Rate</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36D7575B" w14:textId="77777777" w:rsidR="00D9097F" w:rsidRDefault="00000000">
            <w:pPr>
              <w:spacing w:after="60"/>
            </w:pPr>
            <w:r>
              <w:rPr>
                <w:b/>
                <w:bCs/>
                <w:color w:val="712B13"/>
                <w:sz w:val="14"/>
                <w:szCs w:val="14"/>
              </w:rPr>
              <w:t>&lt; 3%</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E3F10B3" w14:textId="77777777" w:rsidR="00D9097F" w:rsidRDefault="00000000">
            <w:pPr>
              <w:spacing w:after="60"/>
            </w:pPr>
            <w:r>
              <w:rPr>
                <w:i/>
                <w:iCs/>
                <w:color w:val="555555"/>
                <w:sz w:val="13"/>
                <w:szCs w:val="13"/>
              </w:rPr>
              <w:t>ServiceNow Now Intelligence 2024</w:t>
            </w:r>
          </w:p>
        </w:tc>
      </w:tr>
      <w:tr w:rsidR="00D9097F" w14:paraId="1FDCA6C6" w14:textId="77777777">
        <w:tc>
          <w:tcPr>
            <w:tcW w:w="5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0235691C" w14:textId="77777777" w:rsidR="00D9097F" w:rsidRDefault="00000000">
            <w:pPr>
              <w:spacing w:after="60"/>
            </w:pPr>
            <w:r>
              <w:rPr>
                <w:b/>
                <w:bCs/>
                <w:color w:val="712B13"/>
                <w:sz w:val="14"/>
                <w:szCs w:val="14"/>
              </w:rPr>
              <w:t>#11</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560E0F5E" w14:textId="77777777" w:rsidR="00D9097F" w:rsidRDefault="00000000">
            <w:pPr>
              <w:spacing w:after="60"/>
            </w:pPr>
            <w:r>
              <w:rPr>
                <w:b/>
                <w:bCs/>
                <w:color w:val="712B13"/>
                <w:sz w:val="14"/>
                <w:szCs w:val="14"/>
              </w:rPr>
              <w:t>Safety &amp; Security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4706BD4" w14:textId="77777777" w:rsidR="00D9097F" w:rsidRDefault="00000000">
            <w:pPr>
              <w:spacing w:after="60"/>
            </w:pPr>
            <w:r>
              <w:rPr>
                <w:color w:val="333333"/>
                <w:sz w:val="14"/>
                <w:szCs w:val="14"/>
              </w:rPr>
              <w:t>Escalation Recall — 8 Mandatory High-Risk Scenarios</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17E59D54" w14:textId="77777777" w:rsidR="00D9097F" w:rsidRDefault="00000000">
            <w:pPr>
              <w:spacing w:after="60"/>
            </w:pPr>
            <w:r>
              <w:rPr>
                <w:b/>
                <w:bCs/>
                <w:color w:val="712B13"/>
                <w:sz w:val="14"/>
                <w:szCs w:val="14"/>
              </w:rPr>
              <w:t>100%</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5ED155FD" w14:textId="77777777" w:rsidR="00D9097F" w:rsidRDefault="00000000">
            <w:pPr>
              <w:spacing w:after="60"/>
            </w:pPr>
            <w:r>
              <w:rPr>
                <w:i/>
                <w:iCs/>
                <w:color w:val="555555"/>
                <w:sz w:val="13"/>
                <w:szCs w:val="13"/>
              </w:rPr>
              <w:t>NIIT Capstone Specification</w:t>
            </w:r>
          </w:p>
        </w:tc>
      </w:tr>
      <w:tr w:rsidR="00D9097F" w14:paraId="213122E9" w14:textId="77777777">
        <w:tc>
          <w:tcPr>
            <w:tcW w:w="5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6EF6C7ED" w14:textId="77777777" w:rsidR="00D9097F" w:rsidRDefault="00000000">
            <w:pPr>
              <w:spacing w:after="60"/>
            </w:pPr>
            <w:r>
              <w:rPr>
                <w:b/>
                <w:bCs/>
                <w:color w:val="712B13"/>
                <w:sz w:val="14"/>
                <w:szCs w:val="14"/>
              </w:rPr>
              <w:t>#12</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0C60D2AD" w14:textId="77777777" w:rsidR="00D9097F" w:rsidRDefault="00000000">
            <w:pPr>
              <w:spacing w:after="60"/>
            </w:pPr>
            <w:r>
              <w:rPr>
                <w:b/>
                <w:bCs/>
                <w:color w:val="712B13"/>
                <w:sz w:val="14"/>
                <w:szCs w:val="14"/>
              </w:rPr>
              <w:t>Safety &amp; Security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97EE8D2" w14:textId="77777777" w:rsidR="00D9097F" w:rsidRDefault="00000000">
            <w:pPr>
              <w:spacing w:after="60"/>
            </w:pPr>
            <w:r>
              <w:rPr>
                <w:color w:val="333333"/>
                <w:sz w:val="14"/>
                <w:szCs w:val="14"/>
              </w:rPr>
              <w:t>Unauthorized Data Access (RBAC)</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14B6C66A" w14:textId="77777777" w:rsidR="00D9097F" w:rsidRDefault="00000000">
            <w:pPr>
              <w:spacing w:after="60"/>
            </w:pPr>
            <w:r>
              <w:rPr>
                <w:b/>
                <w:bCs/>
                <w:color w:val="712B13"/>
                <w:sz w:val="14"/>
                <w:szCs w:val="14"/>
              </w:rPr>
              <w:t>0 violations</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42E68961" w14:textId="77777777" w:rsidR="00D9097F" w:rsidRDefault="00000000">
            <w:pPr>
              <w:spacing w:after="60"/>
            </w:pPr>
            <w:r>
              <w:rPr>
                <w:i/>
                <w:iCs/>
                <w:color w:val="555555"/>
                <w:sz w:val="13"/>
                <w:szCs w:val="13"/>
              </w:rPr>
              <w:t>GDPR Article 32 (2018)</w:t>
            </w:r>
          </w:p>
        </w:tc>
      </w:tr>
      <w:tr w:rsidR="00D9097F" w14:paraId="70022748" w14:textId="77777777">
        <w:tc>
          <w:tcPr>
            <w:tcW w:w="5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751501DC" w14:textId="77777777" w:rsidR="00D9097F" w:rsidRDefault="00000000">
            <w:pPr>
              <w:spacing w:after="60"/>
            </w:pPr>
            <w:r>
              <w:rPr>
                <w:b/>
                <w:bCs/>
                <w:color w:val="712B13"/>
                <w:sz w:val="14"/>
                <w:szCs w:val="14"/>
              </w:rPr>
              <w:t>#13</w:t>
            </w:r>
          </w:p>
        </w:tc>
        <w:tc>
          <w:tcPr>
            <w:tcW w:w="1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41F53E1F" w14:textId="77777777" w:rsidR="00D9097F" w:rsidRDefault="00000000">
            <w:pPr>
              <w:spacing w:after="60"/>
            </w:pPr>
            <w:r>
              <w:rPr>
                <w:b/>
                <w:bCs/>
                <w:color w:val="712B13"/>
                <w:sz w:val="14"/>
                <w:szCs w:val="14"/>
              </w:rPr>
              <w:t>Safety &amp; Security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85D05FF" w14:textId="77777777" w:rsidR="00D9097F" w:rsidRDefault="00000000">
            <w:pPr>
              <w:spacing w:after="60"/>
            </w:pPr>
            <w:r>
              <w:rPr>
                <w:color w:val="333333"/>
                <w:sz w:val="14"/>
                <w:szCs w:val="14"/>
              </w:rPr>
              <w:t>Guardrail Effectiveness</w:t>
            </w:r>
          </w:p>
        </w:tc>
        <w:tc>
          <w:tcPr>
            <w:tcW w:w="2200" w:type="dxa"/>
            <w:tcBorders>
              <w:top w:val="single" w:sz="1" w:space="0" w:color="CCCCCC"/>
              <w:left w:val="single" w:sz="1" w:space="0" w:color="CCCCCC"/>
              <w:bottom w:val="single" w:sz="1" w:space="0" w:color="CCCCCC"/>
              <w:right w:val="single" w:sz="1" w:space="0" w:color="CCCCCC"/>
            </w:tcBorders>
            <w:shd w:val="clear" w:color="auto" w:fill="FAECE7"/>
            <w:tcMar>
              <w:top w:w="55" w:type="dxa"/>
              <w:left w:w="90" w:type="dxa"/>
              <w:bottom w:w="55" w:type="dxa"/>
              <w:right w:w="90" w:type="dxa"/>
            </w:tcMar>
          </w:tcPr>
          <w:p w14:paraId="23BC0691" w14:textId="77777777" w:rsidR="00D9097F" w:rsidRDefault="00000000">
            <w:pPr>
              <w:spacing w:after="60"/>
            </w:pPr>
            <w:r>
              <w:rPr>
                <w:b/>
                <w:bCs/>
                <w:color w:val="712B13"/>
                <w:sz w:val="14"/>
                <w:szCs w:val="14"/>
              </w:rPr>
              <w:t>100% of defined adversarial test set blocked</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7F54B71F" w14:textId="77777777" w:rsidR="00D9097F" w:rsidRDefault="00000000">
            <w:pPr>
              <w:spacing w:after="60"/>
            </w:pPr>
            <w:r>
              <w:rPr>
                <w:i/>
                <w:iCs/>
                <w:color w:val="555555"/>
                <w:sz w:val="13"/>
                <w:szCs w:val="13"/>
              </w:rPr>
              <w:t>OWASP LLM Top 10 (2024)</w:t>
            </w:r>
          </w:p>
        </w:tc>
      </w:tr>
      <w:tr w:rsidR="00D9097F" w14:paraId="60098F1A" w14:textId="77777777">
        <w:tc>
          <w:tcPr>
            <w:tcW w:w="500" w:type="dxa"/>
            <w:tcBorders>
              <w:top w:val="single" w:sz="1" w:space="0" w:color="CCCCCC"/>
              <w:left w:val="single" w:sz="1" w:space="0" w:color="CCCCCC"/>
              <w:bottom w:val="single" w:sz="1" w:space="0" w:color="CCCCCC"/>
              <w:right w:val="single" w:sz="1" w:space="0" w:color="CCCCCC"/>
            </w:tcBorders>
            <w:shd w:val="clear" w:color="auto" w:fill="EAF3DE"/>
            <w:tcMar>
              <w:top w:w="55" w:type="dxa"/>
              <w:left w:w="90" w:type="dxa"/>
              <w:bottom w:w="55" w:type="dxa"/>
              <w:right w:w="90" w:type="dxa"/>
            </w:tcMar>
          </w:tcPr>
          <w:p w14:paraId="1DA9DB49" w14:textId="77777777" w:rsidR="00D9097F" w:rsidRDefault="00000000">
            <w:pPr>
              <w:spacing w:after="60"/>
            </w:pPr>
            <w:r>
              <w:rPr>
                <w:b/>
                <w:bCs/>
                <w:color w:val="27500A"/>
                <w:sz w:val="14"/>
                <w:szCs w:val="14"/>
              </w:rPr>
              <w:t>#14</w:t>
            </w:r>
          </w:p>
        </w:tc>
        <w:tc>
          <w:tcPr>
            <w:tcW w:w="1200" w:type="dxa"/>
            <w:tcBorders>
              <w:top w:val="single" w:sz="1" w:space="0" w:color="CCCCCC"/>
              <w:left w:val="single" w:sz="1" w:space="0" w:color="CCCCCC"/>
              <w:bottom w:val="single" w:sz="1" w:space="0" w:color="CCCCCC"/>
              <w:right w:val="single" w:sz="1" w:space="0" w:color="CCCCCC"/>
            </w:tcBorders>
            <w:shd w:val="clear" w:color="auto" w:fill="EAF3DE"/>
            <w:tcMar>
              <w:top w:w="55" w:type="dxa"/>
              <w:left w:w="90" w:type="dxa"/>
              <w:bottom w:w="55" w:type="dxa"/>
              <w:right w:w="90" w:type="dxa"/>
            </w:tcMar>
          </w:tcPr>
          <w:p w14:paraId="184E492D" w14:textId="77777777" w:rsidR="00D9097F" w:rsidRDefault="00000000">
            <w:pPr>
              <w:spacing w:after="60"/>
            </w:pPr>
            <w:r>
              <w:rPr>
                <w:b/>
                <w:bCs/>
                <w:color w:val="27500A"/>
                <w:sz w:val="14"/>
                <w:szCs w:val="14"/>
              </w:rPr>
              <w:t>Cost &amp; Reliability</w:t>
            </w:r>
          </w:p>
        </w:tc>
        <w:tc>
          <w:tcPr>
            <w:tcW w:w="14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0E5A0C08" w14:textId="77777777" w:rsidR="00D9097F" w:rsidRDefault="00000000">
            <w:pPr>
              <w:spacing w:after="60"/>
            </w:pPr>
            <w:r>
              <w:rPr>
                <w:color w:val="333333"/>
                <w:sz w:val="14"/>
                <w:szCs w:val="14"/>
              </w:rPr>
              <w:t>Cost Per Ticket</w:t>
            </w:r>
          </w:p>
        </w:tc>
        <w:tc>
          <w:tcPr>
            <w:tcW w:w="2200" w:type="dxa"/>
            <w:tcBorders>
              <w:top w:val="single" w:sz="1" w:space="0" w:color="CCCCCC"/>
              <w:left w:val="single" w:sz="1" w:space="0" w:color="CCCCCC"/>
              <w:bottom w:val="single" w:sz="1" w:space="0" w:color="CCCCCC"/>
              <w:right w:val="single" w:sz="1" w:space="0" w:color="CCCCCC"/>
            </w:tcBorders>
            <w:shd w:val="clear" w:color="auto" w:fill="EAF3DE"/>
            <w:tcMar>
              <w:top w:w="55" w:type="dxa"/>
              <w:left w:w="90" w:type="dxa"/>
              <w:bottom w:w="55" w:type="dxa"/>
              <w:right w:w="90" w:type="dxa"/>
            </w:tcMar>
          </w:tcPr>
          <w:p w14:paraId="2F8C49BA" w14:textId="77777777" w:rsidR="00D9097F" w:rsidRDefault="00000000">
            <w:pPr>
              <w:spacing w:after="60"/>
            </w:pPr>
            <w:r>
              <w:rPr>
                <w:b/>
                <w:bCs/>
                <w:color w:val="27500A"/>
                <w:sz w:val="14"/>
                <w:szCs w:val="14"/>
              </w:rPr>
              <w:t>≤ $0.05 avg (hard cap $0.15)</w:t>
            </w:r>
          </w:p>
        </w:tc>
        <w:tc>
          <w:tcPr>
            <w:tcW w:w="3980" w:type="dxa"/>
            <w:tcBorders>
              <w:top w:val="single" w:sz="1" w:space="0" w:color="CCCCCC"/>
              <w:left w:val="single" w:sz="1" w:space="0" w:color="CCCCCC"/>
              <w:bottom w:val="single" w:sz="1" w:space="0" w:color="CCCCCC"/>
              <w:right w:val="single" w:sz="1" w:space="0" w:color="CCCCCC"/>
            </w:tcBorders>
            <w:shd w:val="clear" w:color="auto" w:fill="FFFFFF"/>
            <w:tcMar>
              <w:top w:w="55" w:type="dxa"/>
              <w:left w:w="90" w:type="dxa"/>
              <w:bottom w:w="55" w:type="dxa"/>
              <w:right w:w="90" w:type="dxa"/>
            </w:tcMar>
          </w:tcPr>
          <w:p w14:paraId="33F52E9A" w14:textId="77777777" w:rsidR="00D9097F" w:rsidRDefault="00000000">
            <w:pPr>
              <w:spacing w:after="60"/>
            </w:pPr>
            <w:r>
              <w:rPr>
                <w:i/>
                <w:iCs/>
                <w:color w:val="555555"/>
                <w:sz w:val="13"/>
                <w:szCs w:val="13"/>
              </w:rPr>
              <w:t>Azure OpenAI GPT-4o mini Pricing (2024)</w:t>
            </w:r>
          </w:p>
        </w:tc>
      </w:tr>
    </w:tbl>
    <w:p w14:paraId="783A17EB" w14:textId="77777777" w:rsidR="00D9097F" w:rsidRDefault="00D9097F">
      <w:pPr>
        <w:spacing w:after="80"/>
      </w:pPr>
    </w:p>
    <w:p w14:paraId="67B490D9" w14:textId="77777777" w:rsidR="00D9097F" w:rsidRDefault="00000000">
      <w:pPr>
        <w:spacing w:before="80" w:after="80"/>
      </w:pPr>
      <w:r>
        <w:rPr>
          <w:b/>
          <w:bCs/>
          <w:color w:val="085041"/>
          <w:sz w:val="22"/>
          <w:szCs w:val="22"/>
        </w:rPr>
        <w:t>Detailed citations by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097F" w14:paraId="5684BBCE" w14:textId="77777777">
        <w:tc>
          <w:tcPr>
            <w:tcW w:w="9360" w:type="dxa"/>
            <w:tcBorders>
              <w:top w:val="single" w:sz="10" w:space="0" w:color="085041"/>
              <w:left w:val="single" w:sz="10" w:space="0" w:color="085041"/>
              <w:bottom w:val="single" w:sz="10" w:space="0" w:color="085041"/>
              <w:right w:val="single" w:sz="10" w:space="0" w:color="085041"/>
            </w:tcBorders>
            <w:shd w:val="clear" w:color="auto" w:fill="085041"/>
            <w:tcMar>
              <w:top w:w="100" w:type="dxa"/>
              <w:left w:w="140" w:type="dxa"/>
              <w:bottom w:w="100" w:type="dxa"/>
              <w:right w:w="140" w:type="dxa"/>
            </w:tcMar>
          </w:tcPr>
          <w:p w14:paraId="1525C60D" w14:textId="77777777" w:rsidR="00D9097F" w:rsidRDefault="00000000">
            <w:pPr>
              <w:spacing w:after="20"/>
            </w:pPr>
            <w:r>
              <w:rPr>
                <w:b/>
                <w:bCs/>
                <w:color w:val="FFFFFF"/>
                <w:sz w:val="24"/>
                <w:szCs w:val="24"/>
              </w:rPr>
              <w:t>Quality</w:t>
            </w:r>
          </w:p>
          <w:p w14:paraId="652BA5CE" w14:textId="77777777" w:rsidR="00D9097F" w:rsidRDefault="00000000">
            <w:pPr>
              <w:spacing w:after="60"/>
            </w:pPr>
            <w:r>
              <w:rPr>
                <w:color w:val="E1F5EE"/>
                <w:sz w:val="16"/>
                <w:szCs w:val="16"/>
              </w:rPr>
              <w:t>Accuracy of responses and task completion</w:t>
            </w:r>
          </w:p>
        </w:tc>
      </w:tr>
    </w:tbl>
    <w:p w14:paraId="3D25C439" w14:textId="77777777" w:rsidR="00D9097F" w:rsidRDefault="00D9097F">
      <w:pPr>
        <w:spacing w:after="40"/>
      </w:pPr>
    </w:p>
    <w:p w14:paraId="6CE5983E" w14:textId="77777777" w:rsidR="00D9097F" w:rsidRDefault="00000000">
      <w:pPr>
        <w:spacing w:before="60" w:after="70"/>
      </w:pPr>
      <w:r>
        <w:rPr>
          <w:b/>
          <w:bCs/>
          <w:color w:val="085041"/>
          <w:sz w:val="19"/>
          <w:szCs w:val="19"/>
        </w:rPr>
        <w:t>SLO #1 — Task Success Rate (TSR)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2B130762"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1F5EE"/>
            <w:tcMar>
              <w:top w:w="80" w:type="dxa"/>
              <w:left w:w="120" w:type="dxa"/>
              <w:bottom w:w="80" w:type="dxa"/>
              <w:right w:w="120" w:type="dxa"/>
            </w:tcMar>
          </w:tcPr>
          <w:p w14:paraId="3F0E850D" w14:textId="77777777" w:rsidR="00D9097F" w:rsidRDefault="00000000">
            <w:pPr>
              <w:spacing w:after="60"/>
            </w:pPr>
            <w:r>
              <w:rPr>
                <w:b/>
                <w:bCs/>
                <w:color w:val="085041"/>
                <w:sz w:val="19"/>
                <w:szCs w:val="19"/>
              </w:rPr>
              <w:t xml:space="preserve">SLO #1  </w:t>
            </w:r>
            <w:r>
              <w:rPr>
                <w:b/>
                <w:bCs/>
                <w:color w:val="2C2C2A"/>
                <w:sz w:val="19"/>
                <w:szCs w:val="19"/>
              </w:rPr>
              <w:t>Task Success Rate (TSR)</w:t>
            </w:r>
            <w:r>
              <w:rPr>
                <w:color w:val="2C2C2A"/>
                <w:sz w:val="15"/>
                <w:szCs w:val="15"/>
              </w:rPr>
              <w:t xml:space="preserve">   |   Target: </w:t>
            </w:r>
            <w:r>
              <w:rPr>
                <w:b/>
                <w:bCs/>
                <w:color w:val="085041"/>
                <w:sz w:val="15"/>
                <w:szCs w:val="15"/>
              </w:rPr>
              <w:t>≥ 90%</w:t>
            </w:r>
          </w:p>
        </w:tc>
      </w:tr>
      <w:tr w:rsidR="00D9097F" w14:paraId="6A189364"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140F1545"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21AFA34D" w14:textId="77777777" w:rsidR="00D9097F" w:rsidRDefault="00000000">
            <w:pPr>
              <w:spacing w:after="60"/>
            </w:pPr>
            <w:r>
              <w:rPr>
                <w:color w:val="222222"/>
                <w:sz w:val="16"/>
                <w:szCs w:val="16"/>
              </w:rPr>
              <w:t>Measures whether the system produced a correct outcome — a cited resolution OR a correct escalation. A 10% failure budget accounts for genuinely ambiguous tickets where escalation is the right answer.</w:t>
            </w:r>
          </w:p>
        </w:tc>
      </w:tr>
      <w:tr w:rsidR="00D9097F" w14:paraId="31A827D5"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4BDB5C0A"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10" w:type="dxa"/>
              <w:bottom w:w="70" w:type="dxa"/>
              <w:right w:w="110" w:type="dxa"/>
            </w:tcMar>
          </w:tcPr>
          <w:p w14:paraId="3966B703" w14:textId="77777777" w:rsidR="00D9097F" w:rsidRDefault="00000000">
            <w:pPr>
              <w:spacing w:after="20"/>
            </w:pPr>
            <w:r>
              <w:rPr>
                <w:b/>
                <w:bCs/>
                <w:color w:val="085041"/>
                <w:sz w:val="16"/>
                <w:szCs w:val="16"/>
              </w:rPr>
              <w:t>Zendesk AI Benchmark Report 2024</w:t>
            </w:r>
          </w:p>
          <w:p w14:paraId="3487BD97" w14:textId="77777777" w:rsidR="00D9097F" w:rsidRDefault="00000000">
            <w:pPr>
              <w:spacing w:after="16"/>
            </w:pPr>
            <w:r>
              <w:rPr>
                <w:color w:val="222222"/>
                <w:sz w:val="15"/>
                <w:szCs w:val="15"/>
              </w:rPr>
              <w:t>Enterprise AI support systems report 88–92% TSR on production golden sets when correct escalation is counted as a successful outcome.</w:t>
            </w:r>
          </w:p>
          <w:p w14:paraId="568118FB" w14:textId="77777777" w:rsidR="00D9097F" w:rsidRDefault="00000000">
            <w:pPr>
              <w:spacing w:after="60"/>
            </w:pPr>
            <w:r>
              <w:rPr>
                <w:i/>
                <w:iCs/>
                <w:color w:val="888780"/>
                <w:sz w:val="13"/>
                <w:szCs w:val="13"/>
              </w:rPr>
              <w:t>Source: Zendesk Customer Experience Trends Report 2024</w:t>
            </w:r>
          </w:p>
        </w:tc>
      </w:tr>
      <w:tr w:rsidR="00D9097F" w14:paraId="0086C342"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1B0CD745"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6AB3114" w14:textId="77777777" w:rsidR="00D9097F" w:rsidRDefault="00000000">
            <w:pPr>
              <w:spacing w:after="60"/>
            </w:pPr>
            <w:r>
              <w:rPr>
                <w:color w:val="222222"/>
                <w:sz w:val="16"/>
                <w:szCs w:val="16"/>
              </w:rPr>
              <w:t>Directly benchmarks AI-powered support systems of the same type as this project — Tier-1 ticket triage with human escalation fallback. The methodology of counting correct escalation as success matches our design.</w:t>
            </w:r>
          </w:p>
        </w:tc>
      </w:tr>
    </w:tbl>
    <w:p w14:paraId="4CFD592C" w14:textId="77777777" w:rsidR="00D9097F" w:rsidRDefault="00D9097F">
      <w:pPr>
        <w:spacing w:after="30"/>
      </w:pPr>
    </w:p>
    <w:p w14:paraId="2E52CE8B" w14:textId="77777777" w:rsidR="00D9097F" w:rsidRDefault="00000000">
      <w:pPr>
        <w:spacing w:before="160" w:after="70"/>
      </w:pPr>
      <w:r>
        <w:rPr>
          <w:b/>
          <w:bCs/>
          <w:color w:val="085041"/>
          <w:sz w:val="19"/>
          <w:szCs w:val="19"/>
        </w:rPr>
        <w:lastRenderedPageBreak/>
        <w:t>SLO #2 — Answer Groundedness / Faithfulness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2815D67F"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1F5EE"/>
            <w:tcMar>
              <w:top w:w="80" w:type="dxa"/>
              <w:left w:w="120" w:type="dxa"/>
              <w:bottom w:w="80" w:type="dxa"/>
              <w:right w:w="120" w:type="dxa"/>
            </w:tcMar>
          </w:tcPr>
          <w:p w14:paraId="39CA7C78" w14:textId="77777777" w:rsidR="00D9097F" w:rsidRDefault="00000000">
            <w:pPr>
              <w:spacing w:after="60"/>
            </w:pPr>
            <w:r>
              <w:rPr>
                <w:b/>
                <w:bCs/>
                <w:color w:val="085041"/>
                <w:sz w:val="19"/>
                <w:szCs w:val="19"/>
              </w:rPr>
              <w:t xml:space="preserve">SLO #9  </w:t>
            </w:r>
            <w:r>
              <w:rPr>
                <w:b/>
                <w:bCs/>
                <w:color w:val="2C2C2A"/>
                <w:sz w:val="19"/>
                <w:szCs w:val="19"/>
              </w:rPr>
              <w:t>Answer Groundedness / Faithfulness</w:t>
            </w:r>
            <w:r>
              <w:rPr>
                <w:color w:val="2C2C2A"/>
                <w:sz w:val="15"/>
                <w:szCs w:val="15"/>
              </w:rPr>
              <w:t xml:space="preserve">   |   Target: </w:t>
            </w:r>
            <w:r>
              <w:rPr>
                <w:b/>
                <w:bCs/>
                <w:color w:val="085041"/>
                <w:sz w:val="15"/>
                <w:szCs w:val="15"/>
              </w:rPr>
              <w:t>≥ 95%</w:t>
            </w:r>
          </w:p>
        </w:tc>
      </w:tr>
      <w:tr w:rsidR="00D9097F" w14:paraId="57B09D2A"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68D283E0"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F1A1BFD" w14:textId="5526EF98" w:rsidR="00D9097F" w:rsidRDefault="00000000">
            <w:pPr>
              <w:spacing w:after="60"/>
            </w:pPr>
            <w:r>
              <w:rPr>
                <w:color w:val="222222"/>
                <w:sz w:val="16"/>
                <w:szCs w:val="16"/>
              </w:rPr>
              <w:t>Measures whether the response claims are actually supported by the retrieved documentation chunks — the primary anti-hallucination metric for RAG systems.</w:t>
            </w:r>
          </w:p>
        </w:tc>
      </w:tr>
      <w:tr w:rsidR="00D9097F" w14:paraId="12E0D37E"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2D8A2F99"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10" w:type="dxa"/>
              <w:bottom w:w="70" w:type="dxa"/>
              <w:right w:w="110" w:type="dxa"/>
            </w:tcMar>
          </w:tcPr>
          <w:p w14:paraId="2950C42B" w14:textId="77777777" w:rsidR="00D9097F" w:rsidRDefault="00000000">
            <w:pPr>
              <w:spacing w:after="20"/>
            </w:pPr>
            <w:r>
              <w:rPr>
                <w:b/>
                <w:bCs/>
                <w:color w:val="085041"/>
                <w:sz w:val="16"/>
                <w:szCs w:val="16"/>
              </w:rPr>
              <w:t>RAGAS Evaluation Framework</w:t>
            </w:r>
          </w:p>
          <w:p w14:paraId="1A827952" w14:textId="77777777" w:rsidR="00D9097F" w:rsidRDefault="00000000">
            <w:pPr>
              <w:spacing w:after="16"/>
            </w:pPr>
            <w:r>
              <w:rPr>
                <w:color w:val="222222"/>
                <w:sz w:val="15"/>
                <w:szCs w:val="15"/>
              </w:rPr>
              <w:t>Production RAG systems score 0.85–0.94 on faithfulness using LLM-as-judge. Microsoft Azure AI targets ≥ 0.95 groundedness for enterprise copilot deployments.</w:t>
            </w:r>
          </w:p>
          <w:p w14:paraId="1A74EE25" w14:textId="77777777" w:rsidR="00D9097F" w:rsidRDefault="00000000">
            <w:pPr>
              <w:spacing w:after="60"/>
            </w:pPr>
            <w:r>
              <w:rPr>
                <w:i/>
                <w:iCs/>
                <w:color w:val="888780"/>
                <w:sz w:val="13"/>
                <w:szCs w:val="13"/>
              </w:rPr>
              <w:t>Source: RAGAS: Automated Evaluation of Retrieval Augmented Generation, arXiv 2023 · Azure AI Evaluation SDK 2024</w:t>
            </w:r>
          </w:p>
        </w:tc>
      </w:tr>
      <w:tr w:rsidR="00D9097F" w14:paraId="25392EEC"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61E3847"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6061DBC6" w14:textId="77777777" w:rsidR="00D9097F" w:rsidRDefault="00000000">
            <w:pPr>
              <w:spacing w:after="60"/>
            </w:pPr>
            <w:r>
              <w:rPr>
                <w:color w:val="222222"/>
                <w:sz w:val="16"/>
                <w:szCs w:val="16"/>
              </w:rPr>
              <w:t>RAGAS is the standard evaluation framework for RAG systems and is directly integrated into Langfuse's own evaluation features — making it the natural benchmark for a Langfuse-based support system.</w:t>
            </w:r>
          </w:p>
        </w:tc>
      </w:tr>
    </w:tbl>
    <w:p w14:paraId="1DC9CE1B" w14:textId="77777777" w:rsidR="00D9097F" w:rsidRDefault="00D9097F">
      <w:pPr>
        <w:spacing w:after="30"/>
      </w:pPr>
    </w:p>
    <w:p w14:paraId="61F4A864" w14:textId="77777777" w:rsidR="00D9097F" w:rsidRDefault="00000000">
      <w:pPr>
        <w:spacing w:before="160" w:after="70"/>
      </w:pPr>
      <w:r>
        <w:rPr>
          <w:b/>
          <w:bCs/>
          <w:color w:val="085041"/>
          <w:sz w:val="19"/>
          <w:szCs w:val="19"/>
        </w:rPr>
        <w:t>SLO #3 — Structured SQL Correctness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77AF224E"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1F5EE"/>
            <w:tcMar>
              <w:top w:w="80" w:type="dxa"/>
              <w:left w:w="120" w:type="dxa"/>
              <w:bottom w:w="80" w:type="dxa"/>
              <w:right w:w="120" w:type="dxa"/>
            </w:tcMar>
          </w:tcPr>
          <w:p w14:paraId="01ECE238" w14:textId="77777777" w:rsidR="00D9097F" w:rsidRDefault="00000000">
            <w:pPr>
              <w:spacing w:after="60"/>
            </w:pPr>
            <w:r>
              <w:rPr>
                <w:b/>
                <w:bCs/>
                <w:color w:val="085041"/>
                <w:sz w:val="19"/>
                <w:szCs w:val="19"/>
              </w:rPr>
              <w:t xml:space="preserve">SLO #3  </w:t>
            </w:r>
            <w:r>
              <w:rPr>
                <w:b/>
                <w:bCs/>
                <w:color w:val="2C2C2A"/>
                <w:sz w:val="19"/>
                <w:szCs w:val="19"/>
              </w:rPr>
              <w:t>Structured SQL Correctness</w:t>
            </w:r>
            <w:r>
              <w:rPr>
                <w:color w:val="2C2C2A"/>
                <w:sz w:val="15"/>
                <w:szCs w:val="15"/>
              </w:rPr>
              <w:t xml:space="preserve">   |   Target: </w:t>
            </w:r>
            <w:r>
              <w:rPr>
                <w:b/>
                <w:bCs/>
                <w:color w:val="085041"/>
                <w:sz w:val="15"/>
                <w:szCs w:val="15"/>
              </w:rPr>
              <w:t>≥ 95%</w:t>
            </w:r>
          </w:p>
        </w:tc>
      </w:tr>
      <w:tr w:rsidR="00D9097F" w14:paraId="4C58E307"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14C411BD"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40E92C65" w14:textId="77777777" w:rsidR="00D9097F" w:rsidRDefault="00000000">
            <w:pPr>
              <w:spacing w:after="60"/>
            </w:pPr>
            <w:r>
              <w:rPr>
                <w:color w:val="222222"/>
                <w:sz w:val="16"/>
                <w:szCs w:val="16"/>
              </w:rPr>
              <w:t>Measures whether parameterized query results match ground truth on the golden set. The use of parameterized templates (ADR-002) eliminates schema hallucination, leaving only parameter extraction as a failure mode.</w:t>
            </w:r>
          </w:p>
        </w:tc>
      </w:tr>
      <w:tr w:rsidR="00D9097F" w14:paraId="2C0BC8A2"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090A5033"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1F5EE"/>
            <w:tcMar>
              <w:top w:w="70" w:type="dxa"/>
              <w:left w:w="110" w:type="dxa"/>
              <w:bottom w:w="70" w:type="dxa"/>
              <w:right w:w="110" w:type="dxa"/>
            </w:tcMar>
          </w:tcPr>
          <w:p w14:paraId="6BB36108" w14:textId="77777777" w:rsidR="00D9097F" w:rsidRDefault="00000000">
            <w:pPr>
              <w:spacing w:after="20"/>
            </w:pPr>
            <w:r>
              <w:rPr>
                <w:b/>
                <w:bCs/>
                <w:color w:val="085041"/>
                <w:sz w:val="16"/>
                <w:szCs w:val="16"/>
              </w:rPr>
              <w:t>BIRD Benchmark — NeurIPS 2023</w:t>
            </w:r>
          </w:p>
          <w:p w14:paraId="5B9E6C10" w14:textId="77777777" w:rsidR="00D9097F" w:rsidRDefault="00000000">
            <w:pPr>
              <w:spacing w:after="16"/>
            </w:pPr>
            <w:r>
              <w:rPr>
                <w:color w:val="222222"/>
                <w:sz w:val="15"/>
                <w:szCs w:val="15"/>
              </w:rPr>
              <w:t>Parameterized template approaches outperform free-form text-to-SQL by 8–12 percentage points on enterprise schemas. Template-constrained systems consistently achieve ≥ 95% correctness.</w:t>
            </w:r>
          </w:p>
          <w:p w14:paraId="67A47AE6" w14:textId="77777777" w:rsidR="00D9097F" w:rsidRDefault="00000000">
            <w:pPr>
              <w:spacing w:after="60"/>
            </w:pPr>
            <w:r>
              <w:rPr>
                <w:i/>
                <w:iCs/>
                <w:color w:val="888780"/>
                <w:sz w:val="13"/>
                <w:szCs w:val="13"/>
              </w:rPr>
              <w:t>Source: BIRD: A Big Bench for Large-Scale Database Grounded Text-to-SQL, NeurIPS 2023</w:t>
            </w:r>
          </w:p>
        </w:tc>
      </w:tr>
      <w:tr w:rsidR="00D9097F" w14:paraId="1975095A"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B1CCB16"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7AA7FBD5" w14:textId="77777777" w:rsidR="00D9097F" w:rsidRDefault="00000000">
            <w:pPr>
              <w:spacing w:after="60"/>
            </w:pPr>
            <w:r>
              <w:rPr>
                <w:color w:val="222222"/>
                <w:sz w:val="16"/>
                <w:szCs w:val="16"/>
              </w:rPr>
              <w:t>BIRD is the leading academic benchmark for enterprise SQL generation. The finding directly justifies our ADR-002 decision (parameterized templates over free-form text-to-SQL) as the mechanism that makes 95% achievable.</w:t>
            </w:r>
          </w:p>
        </w:tc>
      </w:tr>
    </w:tbl>
    <w:p w14:paraId="39F4759F" w14:textId="77777777" w:rsidR="003E2C78" w:rsidRDefault="003E2C78">
      <w:pPr>
        <w:spacing w:before="160" w:after="70"/>
        <w:rPr>
          <w:kern w:val="2"/>
          <w14:ligatures w14:val="standardContextual"/>
        </w:rPr>
      </w:pPr>
      <w:r>
        <w:rPr>
          <w:b/>
          <w:bCs/>
          <w:color w:val="085041"/>
          <w:sz w:val="19"/>
          <w:szCs w:val="19"/>
        </w:rPr>
        <w:t>SLO #4 — Answer Relevance</w:t>
      </w:r>
    </w:p>
    <w:tbl>
      <w:tblPr>
        <w:tblW w:w="9360" w:type="dxa"/>
        <w:tblCellMar>
          <w:left w:w="0" w:type="dxa"/>
          <w:right w:w="0" w:type="dxa"/>
        </w:tblCellMar>
        <w:tblLook w:val="04A0" w:firstRow="1" w:lastRow="0" w:firstColumn="1" w:lastColumn="0" w:noHBand="0" w:noVBand="1"/>
      </w:tblPr>
      <w:tblGrid>
        <w:gridCol w:w="1700"/>
        <w:gridCol w:w="7660"/>
      </w:tblGrid>
      <w:tr w:rsidR="003E2C78" w14:paraId="2EC083C4" w14:textId="77777777">
        <w:tc>
          <w:tcPr>
            <w:tcW w:w="9360" w:type="dxa"/>
            <w:gridSpan w:val="2"/>
            <w:tcBorders>
              <w:top w:val="single" w:sz="8" w:space="0" w:color="BBBBBB"/>
              <w:left w:val="single" w:sz="8" w:space="0" w:color="BBBBBB"/>
              <w:bottom w:val="single" w:sz="8" w:space="0" w:color="BBBBBB"/>
              <w:right w:val="single" w:sz="8" w:space="0" w:color="BBBBBB"/>
            </w:tcBorders>
            <w:shd w:val="clear" w:color="auto" w:fill="E1F5EE"/>
            <w:tcMar>
              <w:top w:w="80" w:type="dxa"/>
              <w:left w:w="120" w:type="dxa"/>
              <w:bottom w:w="80" w:type="dxa"/>
              <w:right w:w="120" w:type="dxa"/>
            </w:tcMar>
            <w:hideMark/>
          </w:tcPr>
          <w:p w14:paraId="725129E1" w14:textId="77777777" w:rsidR="003E2C78" w:rsidRDefault="003E2C78">
            <w:pPr>
              <w:spacing w:after="60"/>
              <w:rPr>
                <w:kern w:val="2"/>
                <w14:ligatures w14:val="standardContextual"/>
              </w:rPr>
            </w:pPr>
            <w:r>
              <w:rPr>
                <w:b/>
                <w:bCs/>
                <w:color w:val="085041"/>
                <w:sz w:val="19"/>
                <w:szCs w:val="19"/>
              </w:rPr>
              <w:t xml:space="preserve">SLO #14  </w:t>
            </w:r>
            <w:r>
              <w:rPr>
                <w:b/>
                <w:bCs/>
                <w:color w:val="2C2C2A"/>
                <w:sz w:val="19"/>
                <w:szCs w:val="19"/>
              </w:rPr>
              <w:t>Answer Relevance</w:t>
            </w:r>
            <w:r>
              <w:rPr>
                <w:color w:val="2C2C2A"/>
                <w:sz w:val="15"/>
                <w:szCs w:val="15"/>
              </w:rPr>
              <w:t xml:space="preserve">   |   Target: </w:t>
            </w:r>
            <w:r>
              <w:rPr>
                <w:b/>
                <w:bCs/>
                <w:color w:val="085041"/>
                <w:sz w:val="15"/>
                <w:szCs w:val="15"/>
              </w:rPr>
              <w:t>≥ 0.85</w:t>
            </w:r>
          </w:p>
        </w:tc>
      </w:tr>
      <w:tr w:rsidR="003E2C78" w14:paraId="7B4CBA11" w14:textId="77777777">
        <w:tc>
          <w:tcPr>
            <w:tcW w:w="1700" w:type="dxa"/>
            <w:tcBorders>
              <w:top w:val="nil"/>
              <w:left w:val="single" w:sz="8" w:space="0" w:color="CCCCCC"/>
              <w:bottom w:val="single" w:sz="8" w:space="0" w:color="CCCCCC"/>
              <w:right w:val="single" w:sz="8" w:space="0" w:color="CCCCCC"/>
            </w:tcBorders>
            <w:shd w:val="clear" w:color="auto" w:fill="F1EFE8"/>
            <w:tcMar>
              <w:top w:w="70" w:type="dxa"/>
              <w:left w:w="110" w:type="dxa"/>
              <w:bottom w:w="70" w:type="dxa"/>
              <w:right w:w="110" w:type="dxa"/>
            </w:tcMar>
            <w:hideMark/>
          </w:tcPr>
          <w:p w14:paraId="2A8BC6C1" w14:textId="77777777" w:rsidR="003E2C78" w:rsidRDefault="003E2C78">
            <w:pPr>
              <w:spacing w:after="60"/>
            </w:pPr>
            <w:r>
              <w:rPr>
                <w:b/>
                <w:bCs/>
                <w:color w:val="2C2C2A"/>
                <w:sz w:val="16"/>
                <w:szCs w:val="16"/>
              </w:rPr>
              <w:t>Why this target</w:t>
            </w:r>
          </w:p>
        </w:tc>
        <w:tc>
          <w:tcPr>
            <w:tcW w:w="7660" w:type="dxa"/>
            <w:tcBorders>
              <w:top w:val="nil"/>
              <w:left w:val="nil"/>
              <w:bottom w:val="single" w:sz="8" w:space="0" w:color="CCCCCC"/>
              <w:right w:val="single" w:sz="8" w:space="0" w:color="CCCCCC"/>
            </w:tcBorders>
            <w:shd w:val="clear" w:color="auto" w:fill="FFFFFF"/>
            <w:tcMar>
              <w:top w:w="70" w:type="dxa"/>
              <w:left w:w="110" w:type="dxa"/>
              <w:bottom w:w="70" w:type="dxa"/>
              <w:right w:w="110" w:type="dxa"/>
            </w:tcMar>
            <w:hideMark/>
          </w:tcPr>
          <w:p w14:paraId="4F5497B4" w14:textId="77777777" w:rsidR="003E2C78" w:rsidRDefault="003E2C78">
            <w:pPr>
              <w:spacing w:after="60"/>
            </w:pPr>
            <w:r>
              <w:rPr>
                <w:color w:val="222222"/>
                <w:sz w:val="16"/>
                <w:szCs w:val="16"/>
              </w:rPr>
              <w:t>Measures whether the generated answer actually addresses what the user asked, independent of faithfulness. A system can score 100% on faithfulness while still answering the wrong question because the retrieved chunks were about a different topic. Answer relevance catches this failure mode.</w:t>
            </w:r>
          </w:p>
        </w:tc>
      </w:tr>
      <w:tr w:rsidR="003E2C78" w14:paraId="6989A095" w14:textId="77777777">
        <w:tc>
          <w:tcPr>
            <w:tcW w:w="1700" w:type="dxa"/>
            <w:tcBorders>
              <w:top w:val="nil"/>
              <w:left w:val="single" w:sz="8" w:space="0" w:color="CCCCCC"/>
              <w:bottom w:val="single" w:sz="8" w:space="0" w:color="CCCCCC"/>
              <w:right w:val="single" w:sz="8" w:space="0" w:color="CCCCCC"/>
            </w:tcBorders>
            <w:shd w:val="clear" w:color="auto" w:fill="F1EFE8"/>
            <w:tcMar>
              <w:top w:w="70" w:type="dxa"/>
              <w:left w:w="110" w:type="dxa"/>
              <w:bottom w:w="70" w:type="dxa"/>
              <w:right w:w="110" w:type="dxa"/>
            </w:tcMar>
            <w:hideMark/>
          </w:tcPr>
          <w:p w14:paraId="498B0AAC" w14:textId="77777777" w:rsidR="003E2C78" w:rsidRDefault="003E2C78">
            <w:pPr>
              <w:spacing w:after="60"/>
            </w:pPr>
            <w:r>
              <w:rPr>
                <w:b/>
                <w:bCs/>
                <w:color w:val="2C2C2A"/>
                <w:sz w:val="16"/>
                <w:szCs w:val="16"/>
              </w:rPr>
              <w:t>Key citation</w:t>
            </w:r>
          </w:p>
        </w:tc>
        <w:tc>
          <w:tcPr>
            <w:tcW w:w="7660" w:type="dxa"/>
            <w:tcBorders>
              <w:top w:val="nil"/>
              <w:left w:val="nil"/>
              <w:bottom w:val="single" w:sz="8" w:space="0" w:color="CCCCCC"/>
              <w:right w:val="single" w:sz="8" w:space="0" w:color="CCCCCC"/>
            </w:tcBorders>
            <w:shd w:val="clear" w:color="auto" w:fill="E1F5EE"/>
            <w:tcMar>
              <w:top w:w="70" w:type="dxa"/>
              <w:left w:w="110" w:type="dxa"/>
              <w:bottom w:w="70" w:type="dxa"/>
              <w:right w:w="110" w:type="dxa"/>
            </w:tcMar>
            <w:hideMark/>
          </w:tcPr>
          <w:p w14:paraId="762542EB" w14:textId="77777777" w:rsidR="003E2C78" w:rsidRDefault="003E2C78">
            <w:pPr>
              <w:spacing w:after="20"/>
            </w:pPr>
            <w:r>
              <w:rPr>
                <w:b/>
                <w:bCs/>
                <w:color w:val="085041"/>
                <w:sz w:val="16"/>
                <w:szCs w:val="16"/>
              </w:rPr>
              <w:t>RAGAS Evaluation Framework</w:t>
            </w:r>
          </w:p>
          <w:p w14:paraId="0E853ACB" w14:textId="77777777" w:rsidR="003E2C78" w:rsidRDefault="003E2C78">
            <w:pPr>
              <w:spacing w:after="16"/>
            </w:pPr>
            <w:r>
              <w:rPr>
                <w:color w:val="222222"/>
                <w:sz w:val="15"/>
                <w:szCs w:val="15"/>
              </w:rPr>
              <w:t>RAGAS defines answer relevance as the degree to which the response directly addresses the original question. Production RAG systems score 0.82–0.90 on answer relevance. Microsoft Azure AI targets ≥ 0.85 for enterprise copilot deployments.</w:t>
            </w:r>
          </w:p>
          <w:p w14:paraId="282D3652" w14:textId="77777777" w:rsidR="003E2C78" w:rsidRDefault="003E2C78">
            <w:pPr>
              <w:spacing w:after="60"/>
            </w:pPr>
            <w:r>
              <w:rPr>
                <w:i/>
                <w:iCs/>
                <w:color w:val="888780"/>
                <w:sz w:val="13"/>
                <w:szCs w:val="13"/>
              </w:rPr>
              <w:t>Source: RAGAS: Automated Evaluation of Retrieval Augmented Generation, arXiv 2023 · Azure AI Evaluation SDK 2024</w:t>
            </w:r>
          </w:p>
        </w:tc>
      </w:tr>
      <w:tr w:rsidR="003E2C78" w14:paraId="7A60A252" w14:textId="77777777">
        <w:tc>
          <w:tcPr>
            <w:tcW w:w="1700" w:type="dxa"/>
            <w:tcBorders>
              <w:top w:val="nil"/>
              <w:left w:val="single" w:sz="8" w:space="0" w:color="CCCCCC"/>
              <w:bottom w:val="single" w:sz="8" w:space="0" w:color="CCCCCC"/>
              <w:right w:val="single" w:sz="8" w:space="0" w:color="CCCCCC"/>
            </w:tcBorders>
            <w:shd w:val="clear" w:color="auto" w:fill="F1EFE8"/>
            <w:tcMar>
              <w:top w:w="70" w:type="dxa"/>
              <w:left w:w="110" w:type="dxa"/>
              <w:bottom w:w="70" w:type="dxa"/>
              <w:right w:w="110" w:type="dxa"/>
            </w:tcMar>
            <w:hideMark/>
          </w:tcPr>
          <w:p w14:paraId="5FE26831" w14:textId="77777777" w:rsidR="003E2C78" w:rsidRDefault="003E2C78">
            <w:pPr>
              <w:spacing w:after="60"/>
            </w:pPr>
            <w:r>
              <w:rPr>
                <w:b/>
                <w:bCs/>
                <w:color w:val="2C2C2A"/>
                <w:sz w:val="16"/>
                <w:szCs w:val="16"/>
              </w:rPr>
              <w:t>Why relevant to this project</w:t>
            </w:r>
          </w:p>
        </w:tc>
        <w:tc>
          <w:tcPr>
            <w:tcW w:w="7660" w:type="dxa"/>
            <w:tcBorders>
              <w:top w:val="nil"/>
              <w:left w:val="nil"/>
              <w:bottom w:val="single" w:sz="8" w:space="0" w:color="CCCCCC"/>
              <w:right w:val="single" w:sz="8" w:space="0" w:color="CCCCCC"/>
            </w:tcBorders>
            <w:shd w:val="clear" w:color="auto" w:fill="F1EFE8"/>
            <w:tcMar>
              <w:top w:w="70" w:type="dxa"/>
              <w:left w:w="110" w:type="dxa"/>
              <w:bottom w:w="70" w:type="dxa"/>
              <w:right w:w="110" w:type="dxa"/>
            </w:tcMar>
            <w:hideMark/>
          </w:tcPr>
          <w:p w14:paraId="0BC40781" w14:textId="77777777" w:rsidR="003E2C78" w:rsidRDefault="003E2C78">
            <w:pPr>
              <w:spacing w:after="60"/>
            </w:pPr>
            <w:r>
              <w:rPr>
                <w:color w:val="222222"/>
                <w:sz w:val="16"/>
                <w:szCs w:val="16"/>
              </w:rPr>
              <w:t>Answer relevance is orthogonal to faithfulness — both are needed for a complete quality picture. SLO #2 asks whether the answer is supported by retrieved evidence; SLO #4 asks whether it addresses the question.</w:t>
            </w:r>
          </w:p>
        </w:tc>
      </w:tr>
    </w:tbl>
    <w:p w14:paraId="68402869" w14:textId="77777777" w:rsidR="00D9097F" w:rsidRDefault="00D9097F">
      <w:pPr>
        <w:spacing w:after="30"/>
      </w:pPr>
    </w:p>
    <w:p w14:paraId="005B3178" w14:textId="77777777" w:rsidR="00D9097F" w:rsidRDefault="00D909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097F" w14:paraId="679734A0" w14:textId="77777777">
        <w:tc>
          <w:tcPr>
            <w:tcW w:w="9360" w:type="dxa"/>
            <w:tcBorders>
              <w:top w:val="single" w:sz="10" w:space="0" w:color="0C447C"/>
              <w:left w:val="single" w:sz="10" w:space="0" w:color="0C447C"/>
              <w:bottom w:val="single" w:sz="10" w:space="0" w:color="0C447C"/>
              <w:right w:val="single" w:sz="10" w:space="0" w:color="0C447C"/>
            </w:tcBorders>
            <w:shd w:val="clear" w:color="auto" w:fill="0C447C"/>
            <w:tcMar>
              <w:top w:w="100" w:type="dxa"/>
              <w:left w:w="140" w:type="dxa"/>
              <w:bottom w:w="100" w:type="dxa"/>
              <w:right w:w="140" w:type="dxa"/>
            </w:tcMar>
          </w:tcPr>
          <w:p w14:paraId="45857C98" w14:textId="77777777" w:rsidR="00D9097F" w:rsidRDefault="00000000">
            <w:pPr>
              <w:spacing w:after="20"/>
            </w:pPr>
            <w:r>
              <w:rPr>
                <w:b/>
                <w:bCs/>
                <w:color w:val="FFFFFF"/>
                <w:sz w:val="24"/>
                <w:szCs w:val="24"/>
              </w:rPr>
              <w:t>Speed</w:t>
            </w:r>
          </w:p>
          <w:p w14:paraId="2D09AF4F" w14:textId="77777777" w:rsidR="00D9097F" w:rsidRDefault="00000000">
            <w:pPr>
              <w:spacing w:after="60"/>
            </w:pPr>
            <w:r>
              <w:rPr>
                <w:color w:val="E6F1FB"/>
                <w:sz w:val="16"/>
                <w:szCs w:val="16"/>
              </w:rPr>
              <w:t>Response time across all routing paths</w:t>
            </w:r>
          </w:p>
        </w:tc>
      </w:tr>
    </w:tbl>
    <w:p w14:paraId="2ECAD08B" w14:textId="77777777" w:rsidR="00D9097F" w:rsidRDefault="00D9097F">
      <w:pPr>
        <w:spacing w:after="40"/>
      </w:pPr>
    </w:p>
    <w:p w14:paraId="35AF25FC" w14:textId="77777777" w:rsidR="00D9097F" w:rsidRDefault="00000000">
      <w:pPr>
        <w:spacing w:before="60" w:after="70"/>
      </w:pPr>
      <w:r>
        <w:rPr>
          <w:b/>
          <w:bCs/>
          <w:color w:val="0C447C"/>
          <w:sz w:val="19"/>
          <w:szCs w:val="19"/>
        </w:rPr>
        <w:t>SLO #5 — P95 Latency — Standard Routes (RAG / SQL / Hybrid)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0E378DEF"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6F1FB"/>
            <w:tcMar>
              <w:top w:w="80" w:type="dxa"/>
              <w:left w:w="120" w:type="dxa"/>
              <w:bottom w:w="80" w:type="dxa"/>
              <w:right w:w="120" w:type="dxa"/>
            </w:tcMar>
          </w:tcPr>
          <w:p w14:paraId="1B5104F3" w14:textId="77777777" w:rsidR="00D9097F" w:rsidRDefault="00000000">
            <w:pPr>
              <w:spacing w:after="60"/>
            </w:pPr>
            <w:r>
              <w:rPr>
                <w:b/>
                <w:bCs/>
                <w:color w:val="0C447C"/>
                <w:sz w:val="19"/>
                <w:szCs w:val="19"/>
              </w:rPr>
              <w:t xml:space="preserve">SLO #2a  </w:t>
            </w:r>
            <w:r>
              <w:rPr>
                <w:b/>
                <w:bCs/>
                <w:color w:val="2C2C2A"/>
                <w:sz w:val="19"/>
                <w:szCs w:val="19"/>
              </w:rPr>
              <w:t>P95 Latency — Standard Routes (RAG / SQL / Hybrid)</w:t>
            </w:r>
            <w:r>
              <w:rPr>
                <w:color w:val="2C2C2A"/>
                <w:sz w:val="15"/>
                <w:szCs w:val="15"/>
              </w:rPr>
              <w:t xml:space="preserve">   |   Target: </w:t>
            </w:r>
            <w:r>
              <w:rPr>
                <w:b/>
                <w:bCs/>
                <w:color w:val="0C447C"/>
                <w:sz w:val="15"/>
                <w:szCs w:val="15"/>
              </w:rPr>
              <w:t>≤ 5s</w:t>
            </w:r>
          </w:p>
        </w:tc>
      </w:tr>
      <w:tr w:rsidR="00D9097F" w14:paraId="0D00E208"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044CD162"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20961FD" w14:textId="77777777" w:rsidR="00D9097F" w:rsidRDefault="00000000">
            <w:pPr>
              <w:spacing w:after="60"/>
            </w:pPr>
            <w:r>
              <w:rPr>
                <w:color w:val="222222"/>
                <w:sz w:val="16"/>
                <w:szCs w:val="16"/>
              </w:rPr>
              <w:t>Standard routes (Agent 1 → Agent 2/3 → Agent 4) involve two to three sequential LLM calls and one retrieval step. With GPT-4o mini and parallel RAG+SQL execution, P95 of 5s is achievable.</w:t>
            </w:r>
          </w:p>
        </w:tc>
      </w:tr>
      <w:tr w:rsidR="00D9097F" w14:paraId="60D8C8E0"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75EC0C71"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6F1FB"/>
            <w:tcMar>
              <w:top w:w="70" w:type="dxa"/>
              <w:left w:w="110" w:type="dxa"/>
              <w:bottom w:w="70" w:type="dxa"/>
              <w:right w:w="110" w:type="dxa"/>
            </w:tcMar>
          </w:tcPr>
          <w:p w14:paraId="7BA64C73" w14:textId="77777777" w:rsidR="00D9097F" w:rsidRDefault="00000000">
            <w:pPr>
              <w:spacing w:after="20"/>
            </w:pPr>
            <w:r>
              <w:rPr>
                <w:b/>
                <w:bCs/>
                <w:color w:val="0C447C"/>
                <w:sz w:val="16"/>
                <w:szCs w:val="16"/>
              </w:rPr>
              <w:t>NIIT Capstone Specification + Microsoft Azure AI</w:t>
            </w:r>
          </w:p>
          <w:p w14:paraId="35CFCC4B" w14:textId="77777777" w:rsidR="00D9097F" w:rsidRDefault="00000000">
            <w:pPr>
              <w:spacing w:after="16"/>
            </w:pPr>
            <w:r>
              <w:rPr>
                <w:color w:val="222222"/>
                <w:sz w:val="15"/>
                <w:szCs w:val="15"/>
              </w:rPr>
              <w:t>Capstone spec mandates P95 latency ≤ 3–6 seconds. Microsoft Copilot for Service targets P95 ≤ 5–6s for knowledge retrieval workflows — confirming 5s as the enterprise standard midpoint.</w:t>
            </w:r>
          </w:p>
          <w:p w14:paraId="7FDD1E1A" w14:textId="77777777" w:rsidR="00D9097F" w:rsidRDefault="00000000">
            <w:pPr>
              <w:spacing w:after="60"/>
            </w:pPr>
            <w:r>
              <w:rPr>
                <w:i/>
                <w:iCs/>
                <w:color w:val="888780"/>
                <w:sz w:val="13"/>
                <w:szCs w:val="13"/>
              </w:rPr>
              <w:t>Source: NIIT Enterprise Software Support README · Microsoft Azure AI Reference Architecture 2024</w:t>
            </w:r>
          </w:p>
        </w:tc>
      </w:tr>
      <w:tr w:rsidR="00D9097F" w14:paraId="1DDA2246"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779F15E9" w14:textId="77777777" w:rsidR="00D9097F" w:rsidRDefault="00000000">
            <w:pPr>
              <w:spacing w:after="60"/>
            </w:pPr>
            <w:r>
              <w:rPr>
                <w:b/>
                <w:bCs/>
                <w:color w:val="2C2C2A"/>
                <w:sz w:val="16"/>
                <w:szCs w:val="16"/>
              </w:rPr>
              <w:lastRenderedPageBreak/>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2D187200" w14:textId="77777777" w:rsidR="00D9097F" w:rsidRDefault="00000000">
            <w:pPr>
              <w:spacing w:after="60"/>
            </w:pPr>
            <w:r>
              <w:rPr>
                <w:color w:val="222222"/>
                <w:sz w:val="16"/>
                <w:szCs w:val="16"/>
              </w:rPr>
              <w:t>The spec is the primary mandate. Microsoft Copilot for Service is chosen as the benchmark because it is the closest commercial equivalent — an enterprise AI assistant answering support queries from a knowledge base.</w:t>
            </w:r>
          </w:p>
        </w:tc>
      </w:tr>
    </w:tbl>
    <w:p w14:paraId="54619AB7" w14:textId="77777777" w:rsidR="00D9097F" w:rsidRDefault="00D9097F">
      <w:pPr>
        <w:spacing w:after="30"/>
      </w:pPr>
    </w:p>
    <w:p w14:paraId="3F793CAA" w14:textId="77777777" w:rsidR="00D9097F" w:rsidRDefault="00000000">
      <w:pPr>
        <w:spacing w:before="160" w:after="70"/>
      </w:pPr>
      <w:r>
        <w:rPr>
          <w:b/>
          <w:bCs/>
          <w:color w:val="0C447C"/>
          <w:sz w:val="19"/>
          <w:szCs w:val="19"/>
        </w:rPr>
        <w:t>SLO #6 — P95 Latency — Multi-Agent Validation Route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45B84CEA"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6F1FB"/>
            <w:tcMar>
              <w:top w:w="80" w:type="dxa"/>
              <w:left w:w="120" w:type="dxa"/>
              <w:bottom w:w="80" w:type="dxa"/>
              <w:right w:w="120" w:type="dxa"/>
            </w:tcMar>
          </w:tcPr>
          <w:p w14:paraId="29192BF6" w14:textId="77777777" w:rsidR="00D9097F" w:rsidRDefault="00000000">
            <w:pPr>
              <w:spacing w:after="60"/>
            </w:pPr>
            <w:r>
              <w:rPr>
                <w:b/>
                <w:bCs/>
                <w:color w:val="0C447C"/>
                <w:sz w:val="19"/>
                <w:szCs w:val="19"/>
              </w:rPr>
              <w:t xml:space="preserve">SLO #2b  </w:t>
            </w:r>
            <w:r>
              <w:rPr>
                <w:b/>
                <w:bCs/>
                <w:color w:val="2C2C2A"/>
                <w:sz w:val="19"/>
                <w:szCs w:val="19"/>
              </w:rPr>
              <w:t>P95 Latency — Multi-Agent Validation Route</w:t>
            </w:r>
            <w:r>
              <w:rPr>
                <w:color w:val="2C2C2A"/>
                <w:sz w:val="15"/>
                <w:szCs w:val="15"/>
              </w:rPr>
              <w:t xml:space="preserve">   |   Target: </w:t>
            </w:r>
            <w:r>
              <w:rPr>
                <w:b/>
                <w:bCs/>
                <w:color w:val="0C447C"/>
                <w:sz w:val="15"/>
                <w:szCs w:val="15"/>
              </w:rPr>
              <w:t>≤ 10s</w:t>
            </w:r>
          </w:p>
        </w:tc>
      </w:tr>
      <w:tr w:rsidR="00D9097F" w14:paraId="26D8797E"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4A6B90F6"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BA5130C" w14:textId="77777777" w:rsidR="00D9097F" w:rsidRDefault="00000000">
            <w:pPr>
              <w:spacing w:after="60"/>
            </w:pPr>
            <w:r>
              <w:rPr>
                <w:color w:val="222222"/>
                <w:sz w:val="16"/>
                <w:szCs w:val="16"/>
              </w:rPr>
              <w:t>Critical incident tickets run all five agents plus up to 3 reflection iterations. A separate higher target is justified because the cost of a wrong critical incident response far exceeds the cost of a 10-second wait.</w:t>
            </w:r>
          </w:p>
        </w:tc>
      </w:tr>
      <w:tr w:rsidR="00D9097F" w14:paraId="662364D3"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9B9B136"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6F1FB"/>
            <w:tcMar>
              <w:top w:w="70" w:type="dxa"/>
              <w:left w:w="110" w:type="dxa"/>
              <w:bottom w:w="70" w:type="dxa"/>
              <w:right w:w="110" w:type="dxa"/>
            </w:tcMar>
          </w:tcPr>
          <w:p w14:paraId="43D047AC" w14:textId="77777777" w:rsidR="00D9097F" w:rsidRDefault="00000000">
            <w:pPr>
              <w:spacing w:after="20"/>
            </w:pPr>
            <w:r>
              <w:rPr>
                <w:b/>
                <w:bCs/>
                <w:color w:val="0C447C"/>
                <w:sz w:val="16"/>
                <w:szCs w:val="16"/>
              </w:rPr>
              <w:t>PagerDuty Operations Cloud Benchmark 2024</w:t>
            </w:r>
          </w:p>
          <w:p w14:paraId="285A7045" w14:textId="77777777" w:rsidR="00D9097F" w:rsidRDefault="00000000">
            <w:pPr>
              <w:spacing w:after="16"/>
            </w:pPr>
            <w:r>
              <w:rPr>
                <w:color w:val="222222"/>
                <w:sz w:val="15"/>
                <w:szCs w:val="15"/>
              </w:rPr>
              <w:t>AI-assisted critical incident triage systems accept P95 latency of 8–12 seconds when the output includes multi-source validation and escalation routing. Speed is explicitly traded for correctness on P1 incidents.</w:t>
            </w:r>
          </w:p>
          <w:p w14:paraId="3091D84A" w14:textId="77777777" w:rsidR="00D9097F" w:rsidRDefault="00000000">
            <w:pPr>
              <w:spacing w:after="60"/>
            </w:pPr>
            <w:r>
              <w:rPr>
                <w:i/>
                <w:iCs/>
                <w:color w:val="888780"/>
                <w:sz w:val="13"/>
                <w:szCs w:val="13"/>
              </w:rPr>
              <w:t>Source: PagerDuty Operations Cloud Benchmark Report 2024</w:t>
            </w:r>
          </w:p>
        </w:tc>
      </w:tr>
      <w:tr w:rsidR="00D9097F" w14:paraId="4FA984BE"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76DFD99A"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04ABD8D1" w14:textId="77777777" w:rsidR="00D9097F" w:rsidRDefault="00000000">
            <w:pPr>
              <w:spacing w:after="60"/>
            </w:pPr>
            <w:r>
              <w:rPr>
                <w:color w:val="222222"/>
                <w:sz w:val="16"/>
                <w:szCs w:val="16"/>
              </w:rPr>
              <w:t>PagerDuty is the closest real-world system to our multi-agent validation path — AI that triages critical incidents across multiple data sources and routes to the right team. Their P1 latency tolerance directly validates our 10s target.</w:t>
            </w:r>
          </w:p>
        </w:tc>
      </w:tr>
    </w:tbl>
    <w:p w14:paraId="35565D6B" w14:textId="77777777" w:rsidR="00D9097F" w:rsidRDefault="00D9097F">
      <w:pPr>
        <w:spacing w:after="30"/>
      </w:pPr>
    </w:p>
    <w:p w14:paraId="4D4A9708" w14:textId="77777777" w:rsidR="00D9097F" w:rsidRDefault="00D909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097F" w14:paraId="2F844E31" w14:textId="77777777">
        <w:tc>
          <w:tcPr>
            <w:tcW w:w="9360" w:type="dxa"/>
            <w:tcBorders>
              <w:top w:val="single" w:sz="10" w:space="0" w:color="3C3489"/>
              <w:left w:val="single" w:sz="10" w:space="0" w:color="3C3489"/>
              <w:bottom w:val="single" w:sz="10" w:space="0" w:color="3C3489"/>
              <w:right w:val="single" w:sz="10" w:space="0" w:color="3C3489"/>
            </w:tcBorders>
            <w:shd w:val="clear" w:color="auto" w:fill="3C3489"/>
            <w:tcMar>
              <w:top w:w="100" w:type="dxa"/>
              <w:left w:w="140" w:type="dxa"/>
              <w:bottom w:w="100" w:type="dxa"/>
              <w:right w:w="140" w:type="dxa"/>
            </w:tcMar>
          </w:tcPr>
          <w:p w14:paraId="4190DA7C" w14:textId="77777777" w:rsidR="00D9097F" w:rsidRDefault="00000000">
            <w:pPr>
              <w:spacing w:after="20"/>
            </w:pPr>
            <w:r>
              <w:rPr>
                <w:b/>
                <w:bCs/>
                <w:color w:val="FFFFFF"/>
                <w:sz w:val="24"/>
                <w:szCs w:val="24"/>
              </w:rPr>
              <w:t>Retrieval</w:t>
            </w:r>
          </w:p>
          <w:p w14:paraId="6D1A92F2" w14:textId="77777777" w:rsidR="00D9097F" w:rsidRDefault="00000000">
            <w:pPr>
              <w:spacing w:after="60"/>
            </w:pPr>
            <w:r>
              <w:rPr>
                <w:color w:val="EEEDFE"/>
                <w:sz w:val="16"/>
                <w:szCs w:val="16"/>
              </w:rPr>
              <w:t>Quality of evidence fetched from the knowledge base</w:t>
            </w:r>
          </w:p>
        </w:tc>
      </w:tr>
    </w:tbl>
    <w:p w14:paraId="01B88672" w14:textId="77777777" w:rsidR="00D9097F" w:rsidRDefault="00D9097F">
      <w:pPr>
        <w:spacing w:after="40"/>
      </w:pPr>
    </w:p>
    <w:p w14:paraId="1F0A7252" w14:textId="77777777" w:rsidR="00D9097F" w:rsidRDefault="00000000">
      <w:pPr>
        <w:spacing w:before="60" w:after="70"/>
      </w:pPr>
      <w:r>
        <w:rPr>
          <w:b/>
          <w:bCs/>
          <w:color w:val="3C3489"/>
          <w:sz w:val="19"/>
          <w:szCs w:val="19"/>
        </w:rPr>
        <w:t>SLO #7 — Retrieval Quality (Recall@5)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50271590"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EEDFE"/>
            <w:tcMar>
              <w:top w:w="80" w:type="dxa"/>
              <w:left w:w="120" w:type="dxa"/>
              <w:bottom w:w="80" w:type="dxa"/>
              <w:right w:w="120" w:type="dxa"/>
            </w:tcMar>
          </w:tcPr>
          <w:p w14:paraId="6ED08263" w14:textId="77777777" w:rsidR="00D9097F" w:rsidRDefault="00000000">
            <w:pPr>
              <w:spacing w:after="60"/>
            </w:pPr>
            <w:r>
              <w:rPr>
                <w:b/>
                <w:bCs/>
                <w:color w:val="3C3489"/>
                <w:sz w:val="19"/>
                <w:szCs w:val="19"/>
              </w:rPr>
              <w:t xml:space="preserve">SLO #10  </w:t>
            </w:r>
            <w:r>
              <w:rPr>
                <w:b/>
                <w:bCs/>
                <w:color w:val="2C2C2A"/>
                <w:sz w:val="19"/>
                <w:szCs w:val="19"/>
              </w:rPr>
              <w:t>Retrieval Quality (Recall@5)</w:t>
            </w:r>
            <w:r>
              <w:rPr>
                <w:color w:val="2C2C2A"/>
                <w:sz w:val="15"/>
                <w:szCs w:val="15"/>
              </w:rPr>
              <w:t xml:space="preserve">   |   Target: </w:t>
            </w:r>
            <w:r>
              <w:rPr>
                <w:b/>
                <w:bCs/>
                <w:color w:val="3C3489"/>
                <w:sz w:val="15"/>
                <w:szCs w:val="15"/>
              </w:rPr>
              <w:t>≥ 90%</w:t>
            </w:r>
          </w:p>
        </w:tc>
      </w:tr>
      <w:tr w:rsidR="00D9097F" w14:paraId="1EC01CEF"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06730A0F"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655A5A3" w14:textId="77777777" w:rsidR="00D9097F" w:rsidRDefault="00000000">
            <w:pPr>
              <w:spacing w:after="60"/>
            </w:pPr>
            <w:r>
              <w:rPr>
                <w:color w:val="222222"/>
                <w:sz w:val="16"/>
                <w:szCs w:val="16"/>
              </w:rPr>
              <w:t>Measures whether the correct Langfuse documentation chunk appears in the top-5 pgvector results. This is the foundational metric — if the right chunk is not retrieved, no LLM quality can produce a correct answer.</w:t>
            </w:r>
          </w:p>
        </w:tc>
      </w:tr>
      <w:tr w:rsidR="00D9097F" w14:paraId="456385D6"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4B22B193"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10" w:type="dxa"/>
              <w:bottom w:w="70" w:type="dxa"/>
              <w:right w:w="110" w:type="dxa"/>
            </w:tcMar>
          </w:tcPr>
          <w:p w14:paraId="0D032973" w14:textId="77777777" w:rsidR="00D9097F" w:rsidRDefault="00000000">
            <w:pPr>
              <w:spacing w:after="20"/>
            </w:pPr>
            <w:r>
              <w:rPr>
                <w:b/>
                <w:bCs/>
                <w:color w:val="3C3489"/>
                <w:sz w:val="16"/>
                <w:szCs w:val="16"/>
              </w:rPr>
              <w:t>BEIR Benchmark — NeurIPS 2021</w:t>
            </w:r>
          </w:p>
          <w:p w14:paraId="4D59DA79" w14:textId="77777777" w:rsidR="00D9097F" w:rsidRDefault="00000000">
            <w:pPr>
              <w:spacing w:after="16"/>
            </w:pPr>
            <w:r>
              <w:rPr>
                <w:color w:val="222222"/>
                <w:sz w:val="15"/>
                <w:szCs w:val="15"/>
              </w:rPr>
              <w:t>text-embedding-3-small achieves Recall@5 of 86–94% on focused domain-specific corpora (&lt; 1,000 chunks). Smaller corpora consistently reach the higher end of this range.</w:t>
            </w:r>
          </w:p>
          <w:p w14:paraId="0B1F288E" w14:textId="77777777" w:rsidR="00D9097F" w:rsidRDefault="00000000">
            <w:pPr>
              <w:spacing w:after="60"/>
            </w:pPr>
            <w:r>
              <w:rPr>
                <w:i/>
                <w:iCs/>
                <w:color w:val="888780"/>
                <w:sz w:val="13"/>
                <w:szCs w:val="13"/>
              </w:rPr>
              <w:t>Source: BEIR: A Heterogeneous Benchmark for Zero-shot Evaluation of IR Models, NeurIPS 2021</w:t>
            </w:r>
          </w:p>
        </w:tc>
      </w:tr>
      <w:tr w:rsidR="00D9097F" w14:paraId="2FBAE26B"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161229B4"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1D69264" w14:textId="77777777" w:rsidR="00D9097F" w:rsidRDefault="00000000">
            <w:pPr>
              <w:spacing w:after="60"/>
            </w:pPr>
            <w:r>
              <w:rPr>
                <w:color w:val="222222"/>
                <w:sz w:val="16"/>
                <w:szCs w:val="16"/>
              </w:rPr>
              <w:t>BEIR is the standard retrieval evaluation benchmark. The finding is directly applicable — our Langfuse corpus (300–400 chunks) is a small focused corpus, which BEIR data shows benefits retrieval quality most.</w:t>
            </w:r>
          </w:p>
        </w:tc>
      </w:tr>
    </w:tbl>
    <w:p w14:paraId="2F8CDF6A" w14:textId="77777777" w:rsidR="00D9097F" w:rsidRDefault="00D9097F">
      <w:pPr>
        <w:spacing w:after="30"/>
      </w:pPr>
    </w:p>
    <w:p w14:paraId="4A63B65B" w14:textId="77777777" w:rsidR="00D9097F" w:rsidRDefault="00000000">
      <w:pPr>
        <w:spacing w:before="160" w:after="70"/>
      </w:pPr>
      <w:r>
        <w:rPr>
          <w:b/>
          <w:bCs/>
          <w:color w:val="3C3489"/>
          <w:sz w:val="19"/>
          <w:szCs w:val="19"/>
        </w:rPr>
        <w:t>SLO #8 — Source Attribution Rate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31CFDBE0"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EEDFE"/>
            <w:tcMar>
              <w:top w:w="80" w:type="dxa"/>
              <w:left w:w="120" w:type="dxa"/>
              <w:bottom w:w="80" w:type="dxa"/>
              <w:right w:w="120" w:type="dxa"/>
            </w:tcMar>
          </w:tcPr>
          <w:p w14:paraId="6E579A85" w14:textId="77777777" w:rsidR="00D9097F" w:rsidRDefault="00000000">
            <w:pPr>
              <w:spacing w:after="60"/>
            </w:pPr>
            <w:r>
              <w:rPr>
                <w:b/>
                <w:bCs/>
                <w:color w:val="3C3489"/>
                <w:sz w:val="19"/>
                <w:szCs w:val="19"/>
              </w:rPr>
              <w:t xml:space="preserve">SLO #7  </w:t>
            </w:r>
            <w:r>
              <w:rPr>
                <w:b/>
                <w:bCs/>
                <w:color w:val="2C2C2A"/>
                <w:sz w:val="19"/>
                <w:szCs w:val="19"/>
              </w:rPr>
              <w:t>Source Attribution Rate</w:t>
            </w:r>
            <w:r>
              <w:rPr>
                <w:color w:val="2C2C2A"/>
                <w:sz w:val="15"/>
                <w:szCs w:val="15"/>
              </w:rPr>
              <w:t xml:space="preserve">   |   Target: </w:t>
            </w:r>
            <w:r>
              <w:rPr>
                <w:b/>
                <w:bCs/>
                <w:color w:val="3C3489"/>
                <w:sz w:val="15"/>
                <w:szCs w:val="15"/>
              </w:rPr>
              <w:t>100% of RAG answers include ≥ 1 citation</w:t>
            </w:r>
          </w:p>
        </w:tc>
      </w:tr>
      <w:tr w:rsidR="00D9097F" w14:paraId="220E8385"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0E32E816"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51FE40F3" w14:textId="77777777" w:rsidR="00D9097F" w:rsidRDefault="00000000">
            <w:pPr>
              <w:spacing w:after="60"/>
            </w:pPr>
            <w:r>
              <w:rPr>
                <w:color w:val="222222"/>
                <w:sz w:val="16"/>
                <w:szCs w:val="16"/>
              </w:rPr>
              <w:t>Citations are the mechanism by which the system proves its answer is grounded in retrieved evidence rather than hallucination. Without citations users cannot verify answers and the system cannot be audited.</w:t>
            </w:r>
          </w:p>
        </w:tc>
      </w:tr>
      <w:tr w:rsidR="00D9097F" w14:paraId="35044107"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21D8459B"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EEDFE"/>
            <w:tcMar>
              <w:top w:w="70" w:type="dxa"/>
              <w:left w:w="110" w:type="dxa"/>
              <w:bottom w:w="70" w:type="dxa"/>
              <w:right w:w="110" w:type="dxa"/>
            </w:tcMar>
          </w:tcPr>
          <w:p w14:paraId="00F31F4F" w14:textId="77777777" w:rsidR="00D9097F" w:rsidRDefault="00000000">
            <w:pPr>
              <w:spacing w:after="20"/>
            </w:pPr>
            <w:r>
              <w:rPr>
                <w:b/>
                <w:bCs/>
                <w:color w:val="3C3489"/>
                <w:sz w:val="16"/>
                <w:szCs w:val="16"/>
              </w:rPr>
              <w:t>EU AI Act (2024) — Article 13</w:t>
            </w:r>
          </w:p>
          <w:p w14:paraId="0A04BE91" w14:textId="77777777" w:rsidR="00D9097F" w:rsidRDefault="00000000">
            <w:pPr>
              <w:spacing w:after="16"/>
            </w:pPr>
            <w:r>
              <w:rPr>
                <w:color w:val="222222"/>
                <w:sz w:val="15"/>
                <w:szCs w:val="15"/>
              </w:rPr>
              <w:t>AI systems providing advisory content in professional contexts must enable traceability of outputs to their information sources. 100% attribution is a legal requirement for enterprise AI deployments in the EU.</w:t>
            </w:r>
          </w:p>
          <w:p w14:paraId="730F823D" w14:textId="77777777" w:rsidR="00D9097F" w:rsidRDefault="00000000">
            <w:pPr>
              <w:spacing w:after="60"/>
            </w:pPr>
            <w:r>
              <w:rPr>
                <w:i/>
                <w:iCs/>
                <w:color w:val="888780"/>
                <w:sz w:val="13"/>
                <w:szCs w:val="13"/>
              </w:rPr>
              <w:t>Source: EU Artificial Intelligence Act, Article 13 — Transparency and Provision of Information, 2024</w:t>
            </w:r>
          </w:p>
        </w:tc>
      </w:tr>
      <w:tr w:rsidR="00D9097F" w14:paraId="579148FA"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7F3F8A1F"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43A2CCA2" w14:textId="77777777" w:rsidR="00D9097F" w:rsidRDefault="00000000">
            <w:pPr>
              <w:spacing w:after="60"/>
            </w:pPr>
            <w:r>
              <w:rPr>
                <w:color w:val="222222"/>
                <w:sz w:val="16"/>
                <w:szCs w:val="16"/>
              </w:rPr>
              <w:t>The EU AI Act is directly relevant — Langfuse is a European company (Berlin-based) and their customers operate under GDPR/EU AI Act. Citing EU regulation makes the 100% target a compliance requirement, not just a quality preference.</w:t>
            </w:r>
          </w:p>
        </w:tc>
      </w:tr>
    </w:tbl>
    <w:p w14:paraId="7BA98EC3" w14:textId="77777777" w:rsidR="003E2C78" w:rsidRDefault="003E2C78">
      <w:pPr>
        <w:spacing w:before="160" w:after="70"/>
        <w:rPr>
          <w:kern w:val="2"/>
          <w14:ligatures w14:val="standardContextual"/>
        </w:rPr>
      </w:pPr>
      <w:r>
        <w:rPr>
          <w:b/>
          <w:bCs/>
          <w:color w:val="3C3489"/>
          <w:sz w:val="19"/>
          <w:szCs w:val="19"/>
        </w:rPr>
        <w:t>SLO #9 — Context Precision</w:t>
      </w:r>
    </w:p>
    <w:tbl>
      <w:tblPr>
        <w:tblW w:w="9360" w:type="dxa"/>
        <w:tblCellMar>
          <w:left w:w="0" w:type="dxa"/>
          <w:right w:w="0" w:type="dxa"/>
        </w:tblCellMar>
        <w:tblLook w:val="04A0" w:firstRow="1" w:lastRow="0" w:firstColumn="1" w:lastColumn="0" w:noHBand="0" w:noVBand="1"/>
      </w:tblPr>
      <w:tblGrid>
        <w:gridCol w:w="1700"/>
        <w:gridCol w:w="7660"/>
      </w:tblGrid>
      <w:tr w:rsidR="003E2C78" w14:paraId="72341462" w14:textId="77777777">
        <w:tc>
          <w:tcPr>
            <w:tcW w:w="9360" w:type="dxa"/>
            <w:gridSpan w:val="2"/>
            <w:tcBorders>
              <w:top w:val="single" w:sz="8" w:space="0" w:color="BBBBBB"/>
              <w:left w:val="single" w:sz="8" w:space="0" w:color="BBBBBB"/>
              <w:bottom w:val="single" w:sz="8" w:space="0" w:color="BBBBBB"/>
              <w:right w:val="single" w:sz="8" w:space="0" w:color="BBBBBB"/>
            </w:tcBorders>
            <w:shd w:val="clear" w:color="auto" w:fill="EEEDFE"/>
            <w:tcMar>
              <w:top w:w="80" w:type="dxa"/>
              <w:left w:w="120" w:type="dxa"/>
              <w:bottom w:w="80" w:type="dxa"/>
              <w:right w:w="120" w:type="dxa"/>
            </w:tcMar>
            <w:hideMark/>
          </w:tcPr>
          <w:p w14:paraId="32D6B6EB" w14:textId="77777777" w:rsidR="003E2C78" w:rsidRDefault="003E2C78">
            <w:pPr>
              <w:spacing w:after="60"/>
              <w:rPr>
                <w:kern w:val="2"/>
                <w14:ligatures w14:val="standardContextual"/>
              </w:rPr>
            </w:pPr>
            <w:r>
              <w:rPr>
                <w:b/>
                <w:bCs/>
                <w:color w:val="3C3489"/>
                <w:sz w:val="19"/>
                <w:szCs w:val="19"/>
              </w:rPr>
              <w:t xml:space="preserve">SLO #13  </w:t>
            </w:r>
            <w:r>
              <w:rPr>
                <w:b/>
                <w:bCs/>
                <w:color w:val="2C2C2A"/>
                <w:sz w:val="19"/>
                <w:szCs w:val="19"/>
              </w:rPr>
              <w:t>Context Precision</w:t>
            </w:r>
            <w:r>
              <w:rPr>
                <w:color w:val="2C2C2A"/>
                <w:sz w:val="15"/>
                <w:szCs w:val="15"/>
              </w:rPr>
              <w:t xml:space="preserve">   |   Target: </w:t>
            </w:r>
            <w:r>
              <w:rPr>
                <w:b/>
                <w:bCs/>
                <w:color w:val="3C3489"/>
                <w:sz w:val="15"/>
                <w:szCs w:val="15"/>
              </w:rPr>
              <w:t>≥ 0.80</w:t>
            </w:r>
          </w:p>
        </w:tc>
      </w:tr>
      <w:tr w:rsidR="003E2C78" w14:paraId="2ADE2F11" w14:textId="77777777">
        <w:tc>
          <w:tcPr>
            <w:tcW w:w="1700" w:type="dxa"/>
            <w:tcBorders>
              <w:top w:val="nil"/>
              <w:left w:val="single" w:sz="8" w:space="0" w:color="CCCCCC"/>
              <w:bottom w:val="single" w:sz="8" w:space="0" w:color="CCCCCC"/>
              <w:right w:val="single" w:sz="8" w:space="0" w:color="CCCCCC"/>
            </w:tcBorders>
            <w:shd w:val="clear" w:color="auto" w:fill="F1EFE8"/>
            <w:tcMar>
              <w:top w:w="70" w:type="dxa"/>
              <w:left w:w="110" w:type="dxa"/>
              <w:bottom w:w="70" w:type="dxa"/>
              <w:right w:w="110" w:type="dxa"/>
            </w:tcMar>
            <w:hideMark/>
          </w:tcPr>
          <w:p w14:paraId="52FEEA96" w14:textId="77777777" w:rsidR="003E2C78" w:rsidRDefault="003E2C78">
            <w:pPr>
              <w:spacing w:after="60"/>
            </w:pPr>
            <w:r>
              <w:rPr>
                <w:b/>
                <w:bCs/>
                <w:color w:val="2C2C2A"/>
                <w:sz w:val="16"/>
                <w:szCs w:val="16"/>
              </w:rPr>
              <w:t>Why this target</w:t>
            </w:r>
          </w:p>
        </w:tc>
        <w:tc>
          <w:tcPr>
            <w:tcW w:w="7660" w:type="dxa"/>
            <w:tcBorders>
              <w:top w:val="nil"/>
              <w:left w:val="nil"/>
              <w:bottom w:val="single" w:sz="8" w:space="0" w:color="CCCCCC"/>
              <w:right w:val="single" w:sz="8" w:space="0" w:color="CCCCCC"/>
            </w:tcBorders>
            <w:shd w:val="clear" w:color="auto" w:fill="FFFFFF"/>
            <w:tcMar>
              <w:top w:w="70" w:type="dxa"/>
              <w:left w:w="110" w:type="dxa"/>
              <w:bottom w:w="70" w:type="dxa"/>
              <w:right w:w="110" w:type="dxa"/>
            </w:tcMar>
            <w:hideMark/>
          </w:tcPr>
          <w:p w14:paraId="187A676B" w14:textId="77777777" w:rsidR="003E2C78" w:rsidRDefault="003E2C78">
            <w:pPr>
              <w:spacing w:after="60"/>
            </w:pPr>
            <w:r>
              <w:rPr>
                <w:color w:val="222222"/>
                <w:sz w:val="16"/>
                <w:szCs w:val="16"/>
              </w:rPr>
              <w:t>Measures the fraction of retrieved chunks that were actually relevant to the ticket. Low precision means noisy context is passed to the LLM — increasing token cost, response latency, and eventually faithfulness failures.</w:t>
            </w:r>
          </w:p>
        </w:tc>
      </w:tr>
      <w:tr w:rsidR="003E2C78" w14:paraId="2A9189A3" w14:textId="77777777">
        <w:tc>
          <w:tcPr>
            <w:tcW w:w="1700" w:type="dxa"/>
            <w:tcBorders>
              <w:top w:val="nil"/>
              <w:left w:val="single" w:sz="8" w:space="0" w:color="CCCCCC"/>
              <w:bottom w:val="single" w:sz="8" w:space="0" w:color="CCCCCC"/>
              <w:right w:val="single" w:sz="8" w:space="0" w:color="CCCCCC"/>
            </w:tcBorders>
            <w:shd w:val="clear" w:color="auto" w:fill="F1EFE8"/>
            <w:tcMar>
              <w:top w:w="70" w:type="dxa"/>
              <w:left w:w="110" w:type="dxa"/>
              <w:bottom w:w="70" w:type="dxa"/>
              <w:right w:w="110" w:type="dxa"/>
            </w:tcMar>
            <w:hideMark/>
          </w:tcPr>
          <w:p w14:paraId="28C065AF" w14:textId="77777777" w:rsidR="003E2C78" w:rsidRDefault="003E2C78">
            <w:pPr>
              <w:spacing w:after="60"/>
            </w:pPr>
            <w:r>
              <w:rPr>
                <w:b/>
                <w:bCs/>
                <w:color w:val="2C2C2A"/>
                <w:sz w:val="16"/>
                <w:szCs w:val="16"/>
              </w:rPr>
              <w:lastRenderedPageBreak/>
              <w:t>Key citation</w:t>
            </w:r>
          </w:p>
        </w:tc>
        <w:tc>
          <w:tcPr>
            <w:tcW w:w="7660" w:type="dxa"/>
            <w:tcBorders>
              <w:top w:val="nil"/>
              <w:left w:val="nil"/>
              <w:bottom w:val="single" w:sz="8" w:space="0" w:color="CCCCCC"/>
              <w:right w:val="single" w:sz="8" w:space="0" w:color="CCCCCC"/>
            </w:tcBorders>
            <w:shd w:val="clear" w:color="auto" w:fill="EEEDFE"/>
            <w:tcMar>
              <w:top w:w="70" w:type="dxa"/>
              <w:left w:w="110" w:type="dxa"/>
              <w:bottom w:w="70" w:type="dxa"/>
              <w:right w:w="110" w:type="dxa"/>
            </w:tcMar>
            <w:hideMark/>
          </w:tcPr>
          <w:p w14:paraId="7809C17D" w14:textId="77777777" w:rsidR="003E2C78" w:rsidRDefault="003E2C78">
            <w:pPr>
              <w:spacing w:after="20"/>
            </w:pPr>
            <w:r>
              <w:rPr>
                <w:b/>
                <w:bCs/>
                <w:color w:val="3C3489"/>
                <w:sz w:val="16"/>
                <w:szCs w:val="16"/>
              </w:rPr>
              <w:t>RAGAS Evaluation Framework</w:t>
            </w:r>
          </w:p>
          <w:p w14:paraId="2950CD3A" w14:textId="77777777" w:rsidR="003E2C78" w:rsidRDefault="003E2C78">
            <w:pPr>
              <w:spacing w:after="16"/>
            </w:pPr>
            <w:r>
              <w:rPr>
                <w:color w:val="222222"/>
                <w:sz w:val="15"/>
                <w:szCs w:val="15"/>
              </w:rPr>
              <w:t>RAGAS defines context precision as the fraction of retrieved chunks that contribute to the correct answer. Production RAG systems on focused domain corpora (&lt; 1,000 chunks) achieve context precision of 0.75–0.88 with text-embedding-3-small.</w:t>
            </w:r>
          </w:p>
          <w:p w14:paraId="1BDDE471" w14:textId="77777777" w:rsidR="003E2C78" w:rsidRDefault="003E2C78">
            <w:pPr>
              <w:spacing w:after="60"/>
            </w:pPr>
            <w:r>
              <w:rPr>
                <w:i/>
                <w:iCs/>
                <w:color w:val="888780"/>
                <w:sz w:val="13"/>
                <w:szCs w:val="13"/>
              </w:rPr>
              <w:t>Source: RAGAS: Automated Evaluation of Retrieval Augmented Generation, arXiv 2023</w:t>
            </w:r>
          </w:p>
        </w:tc>
      </w:tr>
      <w:tr w:rsidR="003E2C78" w14:paraId="1DE6E7F2" w14:textId="77777777">
        <w:tc>
          <w:tcPr>
            <w:tcW w:w="1700" w:type="dxa"/>
            <w:tcBorders>
              <w:top w:val="nil"/>
              <w:left w:val="single" w:sz="8" w:space="0" w:color="CCCCCC"/>
              <w:bottom w:val="single" w:sz="8" w:space="0" w:color="CCCCCC"/>
              <w:right w:val="single" w:sz="8" w:space="0" w:color="CCCCCC"/>
            </w:tcBorders>
            <w:shd w:val="clear" w:color="auto" w:fill="F1EFE8"/>
            <w:tcMar>
              <w:top w:w="70" w:type="dxa"/>
              <w:left w:w="110" w:type="dxa"/>
              <w:bottom w:w="70" w:type="dxa"/>
              <w:right w:w="110" w:type="dxa"/>
            </w:tcMar>
            <w:hideMark/>
          </w:tcPr>
          <w:p w14:paraId="2C59E9BD" w14:textId="77777777" w:rsidR="003E2C78" w:rsidRDefault="003E2C78">
            <w:pPr>
              <w:spacing w:after="60"/>
            </w:pPr>
            <w:r>
              <w:rPr>
                <w:b/>
                <w:bCs/>
                <w:color w:val="2C2C2A"/>
                <w:sz w:val="16"/>
                <w:szCs w:val="16"/>
              </w:rPr>
              <w:t>Why relevant to this project</w:t>
            </w:r>
          </w:p>
        </w:tc>
        <w:tc>
          <w:tcPr>
            <w:tcW w:w="7660" w:type="dxa"/>
            <w:tcBorders>
              <w:top w:val="nil"/>
              <w:left w:val="nil"/>
              <w:bottom w:val="single" w:sz="8" w:space="0" w:color="CCCCCC"/>
              <w:right w:val="single" w:sz="8" w:space="0" w:color="CCCCCC"/>
            </w:tcBorders>
            <w:shd w:val="clear" w:color="auto" w:fill="F1EFE8"/>
            <w:tcMar>
              <w:top w:w="70" w:type="dxa"/>
              <w:left w:w="110" w:type="dxa"/>
              <w:bottom w:w="70" w:type="dxa"/>
              <w:right w:w="110" w:type="dxa"/>
            </w:tcMar>
            <w:hideMark/>
          </w:tcPr>
          <w:p w14:paraId="1068C1FE" w14:textId="77777777" w:rsidR="003E2C78" w:rsidRDefault="003E2C78">
            <w:pPr>
              <w:spacing w:after="60"/>
            </w:pPr>
            <w:r>
              <w:rPr>
                <w:color w:val="222222"/>
                <w:sz w:val="16"/>
                <w:szCs w:val="16"/>
              </w:rPr>
              <w:t>RAGAS is the standard evaluation framework for RAG systems and is directly integrated into Langfuse's evaluation features. Tracking context precision as a formal SLO enables early intervention before retrieval degradation affects user-facing quality.</w:t>
            </w:r>
          </w:p>
        </w:tc>
      </w:tr>
    </w:tbl>
    <w:p w14:paraId="3E5CEB02" w14:textId="77777777" w:rsidR="00D9097F" w:rsidRDefault="00D9097F">
      <w:pPr>
        <w:spacing w:after="30"/>
      </w:pPr>
    </w:p>
    <w:p w14:paraId="0DB07922" w14:textId="77777777" w:rsidR="00D9097F" w:rsidRDefault="00D909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097F" w14:paraId="42001DC6" w14:textId="77777777">
        <w:tc>
          <w:tcPr>
            <w:tcW w:w="9360" w:type="dxa"/>
            <w:tcBorders>
              <w:top w:val="single" w:sz="10" w:space="0" w:color="712B13"/>
              <w:left w:val="single" w:sz="10" w:space="0" w:color="712B13"/>
              <w:bottom w:val="single" w:sz="10" w:space="0" w:color="712B13"/>
              <w:right w:val="single" w:sz="10" w:space="0" w:color="712B13"/>
            </w:tcBorders>
            <w:shd w:val="clear" w:color="auto" w:fill="712B13"/>
            <w:tcMar>
              <w:top w:w="100" w:type="dxa"/>
              <w:left w:w="140" w:type="dxa"/>
              <w:bottom w:w="100" w:type="dxa"/>
              <w:right w:w="140" w:type="dxa"/>
            </w:tcMar>
          </w:tcPr>
          <w:p w14:paraId="4623B2D1" w14:textId="77777777" w:rsidR="00D9097F" w:rsidRDefault="00000000">
            <w:pPr>
              <w:spacing w:after="20"/>
            </w:pPr>
            <w:r>
              <w:rPr>
                <w:b/>
                <w:bCs/>
                <w:color w:val="FFFFFF"/>
                <w:sz w:val="24"/>
                <w:szCs w:val="24"/>
              </w:rPr>
              <w:t>Safety &amp; Security</w:t>
            </w:r>
          </w:p>
          <w:p w14:paraId="628FCEDF" w14:textId="77777777" w:rsidR="00D9097F" w:rsidRDefault="00000000">
            <w:pPr>
              <w:spacing w:after="60"/>
            </w:pPr>
            <w:r>
              <w:rPr>
                <w:color w:val="FAECE7"/>
                <w:sz w:val="16"/>
                <w:szCs w:val="16"/>
              </w:rPr>
              <w:t>Escalation correctness, access control, and guardrails</w:t>
            </w:r>
          </w:p>
        </w:tc>
      </w:tr>
    </w:tbl>
    <w:p w14:paraId="198309D3" w14:textId="77777777" w:rsidR="00D9097F" w:rsidRDefault="00D9097F">
      <w:pPr>
        <w:spacing w:after="40"/>
      </w:pPr>
    </w:p>
    <w:p w14:paraId="531CB5C6" w14:textId="77777777" w:rsidR="00D9097F" w:rsidRDefault="00000000">
      <w:pPr>
        <w:spacing w:before="60" w:after="70"/>
      </w:pPr>
      <w:r>
        <w:rPr>
          <w:b/>
          <w:bCs/>
          <w:color w:val="712B13"/>
          <w:sz w:val="19"/>
          <w:szCs w:val="19"/>
        </w:rPr>
        <w:t>SLO #10 — Critical Incident Misclassification Rate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47F8C011"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FAECE7"/>
            <w:tcMar>
              <w:top w:w="80" w:type="dxa"/>
              <w:left w:w="120" w:type="dxa"/>
              <w:bottom w:w="80" w:type="dxa"/>
              <w:right w:w="120" w:type="dxa"/>
            </w:tcMar>
          </w:tcPr>
          <w:p w14:paraId="0F7649C5" w14:textId="77777777" w:rsidR="00D9097F" w:rsidRDefault="00000000">
            <w:pPr>
              <w:spacing w:after="60"/>
            </w:pPr>
            <w:r>
              <w:rPr>
                <w:b/>
                <w:bCs/>
                <w:color w:val="712B13"/>
                <w:sz w:val="19"/>
                <w:szCs w:val="19"/>
              </w:rPr>
              <w:t xml:space="preserve">SLO #4  </w:t>
            </w:r>
            <w:r>
              <w:rPr>
                <w:b/>
                <w:bCs/>
                <w:color w:val="2C2C2A"/>
                <w:sz w:val="19"/>
                <w:szCs w:val="19"/>
              </w:rPr>
              <w:t>Critical Incident Misclassification Rate</w:t>
            </w:r>
            <w:r>
              <w:rPr>
                <w:color w:val="2C2C2A"/>
                <w:sz w:val="15"/>
                <w:szCs w:val="15"/>
              </w:rPr>
              <w:t xml:space="preserve">   |   Target: </w:t>
            </w:r>
            <w:r>
              <w:rPr>
                <w:b/>
                <w:bCs/>
                <w:color w:val="712B13"/>
                <w:sz w:val="15"/>
                <w:szCs w:val="15"/>
              </w:rPr>
              <w:t>&lt; 3%</w:t>
            </w:r>
          </w:p>
        </w:tc>
      </w:tr>
      <w:tr w:rsidR="00D9097F" w14:paraId="129EFF4B"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2CED1A2D"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F120D90" w14:textId="77777777" w:rsidR="00D9097F" w:rsidRDefault="00000000">
            <w:pPr>
              <w:spacing w:after="60"/>
            </w:pPr>
            <w:r>
              <w:rPr>
                <w:color w:val="222222"/>
                <w:sz w:val="16"/>
                <w:szCs w:val="16"/>
              </w:rPr>
              <w:t>Measures how often a Critical ticket is not classified as Critical (false negative). Under-classification is the dangerous failure — a Critical ticket on the standard path could delay escalation of a production outage or security breach.</w:t>
            </w:r>
          </w:p>
        </w:tc>
      </w:tr>
      <w:tr w:rsidR="00D9097F" w14:paraId="78B937C5"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78B499A3"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10" w:type="dxa"/>
              <w:bottom w:w="70" w:type="dxa"/>
              <w:right w:w="110" w:type="dxa"/>
            </w:tcMar>
          </w:tcPr>
          <w:p w14:paraId="437707AA" w14:textId="77777777" w:rsidR="00D9097F" w:rsidRDefault="00000000">
            <w:pPr>
              <w:spacing w:after="20"/>
            </w:pPr>
            <w:r>
              <w:rPr>
                <w:b/>
                <w:bCs/>
                <w:color w:val="712B13"/>
                <w:sz w:val="16"/>
                <w:szCs w:val="16"/>
              </w:rPr>
              <w:t>ServiceNow Now Intelligence 2024</w:t>
            </w:r>
          </w:p>
          <w:p w14:paraId="486DCB91" w14:textId="77777777" w:rsidR="00D9097F" w:rsidRDefault="00000000">
            <w:pPr>
              <w:spacing w:after="16"/>
            </w:pPr>
            <w:r>
              <w:rPr>
                <w:color w:val="222222"/>
                <w:sz w:val="15"/>
                <w:szCs w:val="15"/>
              </w:rPr>
              <w:t>P1 incident misclassification rate target is &lt; 3% in ServiceNow's AI-powered ITSM. This is enforced as a hard SLA in enterprise contracts — the same category of system as this project.</w:t>
            </w:r>
          </w:p>
          <w:p w14:paraId="3727461A" w14:textId="77777777" w:rsidR="00D9097F" w:rsidRDefault="00000000">
            <w:pPr>
              <w:spacing w:after="60"/>
            </w:pPr>
            <w:r>
              <w:rPr>
                <w:i/>
                <w:iCs/>
                <w:color w:val="888780"/>
                <w:sz w:val="13"/>
                <w:szCs w:val="13"/>
              </w:rPr>
              <w:t>Source: ServiceNow Now Intelligence Product Documentation 2024</w:t>
            </w:r>
          </w:p>
        </w:tc>
      </w:tr>
      <w:tr w:rsidR="00D9097F" w14:paraId="6A18C23A"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749D8915"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AA0E908" w14:textId="77777777" w:rsidR="00D9097F" w:rsidRDefault="00000000">
            <w:pPr>
              <w:spacing w:after="60"/>
            </w:pPr>
            <w:r>
              <w:rPr>
                <w:color w:val="222222"/>
                <w:sz w:val="16"/>
                <w:szCs w:val="16"/>
              </w:rPr>
              <w:t>ServiceNow is the direct commercial equivalent of our system — AI-powered IT support ticket triage with severity classification and human escalation. Their &lt; 3% production target is the most directly comparable industry benchmark available.</w:t>
            </w:r>
          </w:p>
        </w:tc>
      </w:tr>
    </w:tbl>
    <w:p w14:paraId="52E0219B" w14:textId="77777777" w:rsidR="00D9097F" w:rsidRDefault="00D9097F">
      <w:pPr>
        <w:spacing w:after="30"/>
      </w:pPr>
    </w:p>
    <w:p w14:paraId="7B761EC8" w14:textId="77777777" w:rsidR="00D9097F" w:rsidRDefault="00000000">
      <w:pPr>
        <w:spacing w:before="160" w:after="70"/>
      </w:pPr>
      <w:r>
        <w:rPr>
          <w:b/>
          <w:bCs/>
          <w:color w:val="712B13"/>
          <w:sz w:val="19"/>
          <w:szCs w:val="19"/>
        </w:rPr>
        <w:t>SLO #11 — Escalation Recall — 8 Mandatory High-Risk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5F9A59CF"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FAECE7"/>
            <w:tcMar>
              <w:top w:w="80" w:type="dxa"/>
              <w:left w:w="120" w:type="dxa"/>
              <w:bottom w:w="80" w:type="dxa"/>
              <w:right w:w="120" w:type="dxa"/>
            </w:tcMar>
          </w:tcPr>
          <w:p w14:paraId="7D87D8F0" w14:textId="77777777" w:rsidR="00D9097F" w:rsidRDefault="00000000">
            <w:pPr>
              <w:spacing w:after="60"/>
            </w:pPr>
            <w:r>
              <w:rPr>
                <w:b/>
                <w:bCs/>
                <w:color w:val="712B13"/>
                <w:sz w:val="19"/>
                <w:szCs w:val="19"/>
              </w:rPr>
              <w:t xml:space="preserve">SLO #5  </w:t>
            </w:r>
            <w:r>
              <w:rPr>
                <w:b/>
                <w:bCs/>
                <w:color w:val="2C2C2A"/>
                <w:sz w:val="19"/>
                <w:szCs w:val="19"/>
              </w:rPr>
              <w:t>Escalation Recall — 8 Mandatory High-Risk Scenarios</w:t>
            </w:r>
            <w:r>
              <w:rPr>
                <w:color w:val="2C2C2A"/>
                <w:sz w:val="15"/>
                <w:szCs w:val="15"/>
              </w:rPr>
              <w:t xml:space="preserve">   |   Target: </w:t>
            </w:r>
            <w:r>
              <w:rPr>
                <w:b/>
                <w:bCs/>
                <w:color w:val="712B13"/>
                <w:sz w:val="15"/>
                <w:szCs w:val="15"/>
              </w:rPr>
              <w:t>100%</w:t>
            </w:r>
          </w:p>
        </w:tc>
      </w:tr>
      <w:tr w:rsidR="00D9097F" w14:paraId="130FB80D"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3F744652"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6ABA95BF" w14:textId="77777777" w:rsidR="00D9097F" w:rsidRDefault="00000000">
            <w:pPr>
              <w:spacing w:after="60"/>
            </w:pPr>
            <w:r>
              <w:rPr>
                <w:color w:val="222222"/>
                <w:sz w:val="16"/>
                <w:szCs w:val="16"/>
              </w:rPr>
              <w:t>For the 8 mandatory high-risk scenarios defined in the spec, 100% recall is the only acceptable target — missing a single mandatory escalation is a system failure, not a statistical outlier.</w:t>
            </w:r>
          </w:p>
        </w:tc>
      </w:tr>
      <w:tr w:rsidR="00D9097F" w14:paraId="147E1935"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D148145"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10" w:type="dxa"/>
              <w:bottom w:w="70" w:type="dxa"/>
              <w:right w:w="110" w:type="dxa"/>
            </w:tcMar>
          </w:tcPr>
          <w:p w14:paraId="76B016E5" w14:textId="77777777" w:rsidR="00D9097F" w:rsidRDefault="00000000">
            <w:pPr>
              <w:spacing w:after="20"/>
            </w:pPr>
            <w:r>
              <w:rPr>
                <w:b/>
                <w:bCs/>
                <w:color w:val="712B13"/>
                <w:sz w:val="16"/>
                <w:szCs w:val="16"/>
              </w:rPr>
              <w:t>NIIT Capstone Specification</w:t>
            </w:r>
          </w:p>
          <w:p w14:paraId="5C6B3F6F" w14:textId="77777777" w:rsidR="00D9097F" w:rsidRDefault="00000000">
            <w:pPr>
              <w:spacing w:after="16"/>
            </w:pPr>
            <w:r>
              <w:rPr>
                <w:color w:val="222222"/>
                <w:sz w:val="15"/>
                <w:szCs w:val="15"/>
              </w:rPr>
              <w:t>All 8 mandatory high-risk scenarios must trigger multi-agent validation and escalation. These are non-negotiable requirements explicitly listed in the README.</w:t>
            </w:r>
          </w:p>
          <w:p w14:paraId="196D6310" w14:textId="77777777" w:rsidR="00D9097F" w:rsidRDefault="00000000">
            <w:pPr>
              <w:spacing w:after="60"/>
            </w:pPr>
            <w:r>
              <w:rPr>
                <w:i/>
                <w:iCs/>
                <w:color w:val="888780"/>
                <w:sz w:val="13"/>
                <w:szCs w:val="13"/>
              </w:rPr>
              <w:t>Source: Enterprise Software Support &amp; Resolution Intelligence System — README, High-Risk Scenario Examples section</w:t>
            </w:r>
          </w:p>
        </w:tc>
      </w:tr>
      <w:tr w:rsidR="00D9097F" w14:paraId="26D4A52D"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4499C92A"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AC731F7" w14:textId="77777777" w:rsidR="00D9097F" w:rsidRDefault="00000000">
            <w:pPr>
              <w:spacing w:after="60"/>
            </w:pPr>
            <w:r>
              <w:rPr>
                <w:color w:val="222222"/>
                <w:sz w:val="16"/>
                <w:szCs w:val="16"/>
              </w:rPr>
              <w:t>This SLO is directly mandated by the project spec. The 8 scenarios are explicitly listed as mandatory — 100% is not a chosen target but a spec requirement. The test methodology pairs each scenario with clear-cut and ambiguous variants to verify robustness.</w:t>
            </w:r>
          </w:p>
        </w:tc>
      </w:tr>
    </w:tbl>
    <w:p w14:paraId="46D17E06" w14:textId="77777777" w:rsidR="00D9097F" w:rsidRDefault="00D9097F">
      <w:pPr>
        <w:spacing w:after="30"/>
      </w:pPr>
    </w:p>
    <w:p w14:paraId="6DDC7B60" w14:textId="77777777" w:rsidR="00D9097F" w:rsidRDefault="00000000">
      <w:pPr>
        <w:spacing w:before="160" w:after="70"/>
      </w:pPr>
      <w:r>
        <w:rPr>
          <w:b/>
          <w:bCs/>
          <w:color w:val="712B13"/>
          <w:sz w:val="19"/>
          <w:szCs w:val="19"/>
        </w:rPr>
        <w:t>SLO #12 — Unauthorized Data Access (RBAC)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5297BB53"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FAECE7"/>
            <w:tcMar>
              <w:top w:w="80" w:type="dxa"/>
              <w:left w:w="120" w:type="dxa"/>
              <w:bottom w:w="80" w:type="dxa"/>
              <w:right w:w="120" w:type="dxa"/>
            </w:tcMar>
          </w:tcPr>
          <w:p w14:paraId="3E7611DA" w14:textId="77777777" w:rsidR="00D9097F" w:rsidRDefault="00000000">
            <w:pPr>
              <w:spacing w:after="60"/>
            </w:pPr>
            <w:r>
              <w:rPr>
                <w:b/>
                <w:bCs/>
                <w:color w:val="712B13"/>
                <w:sz w:val="19"/>
                <w:szCs w:val="19"/>
              </w:rPr>
              <w:t xml:space="preserve">SLO #8  </w:t>
            </w:r>
            <w:r>
              <w:rPr>
                <w:b/>
                <w:bCs/>
                <w:color w:val="2C2C2A"/>
                <w:sz w:val="19"/>
                <w:szCs w:val="19"/>
              </w:rPr>
              <w:t>Unauthorized Data Access (RBAC)</w:t>
            </w:r>
            <w:r>
              <w:rPr>
                <w:color w:val="2C2C2A"/>
                <w:sz w:val="15"/>
                <w:szCs w:val="15"/>
              </w:rPr>
              <w:t xml:space="preserve">   |   Target: </w:t>
            </w:r>
            <w:r>
              <w:rPr>
                <w:b/>
                <w:bCs/>
                <w:color w:val="712B13"/>
                <w:sz w:val="15"/>
                <w:szCs w:val="15"/>
              </w:rPr>
              <w:t>0 violations</w:t>
            </w:r>
          </w:p>
        </w:tc>
      </w:tr>
      <w:tr w:rsidR="00D9097F" w14:paraId="389C96EB"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21FA44E8"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19324563" w14:textId="77777777" w:rsidR="00D9097F" w:rsidRDefault="00000000">
            <w:pPr>
              <w:spacing w:after="60"/>
            </w:pPr>
            <w:r>
              <w:rPr>
                <w:color w:val="222222"/>
                <w:sz w:val="16"/>
                <w:szCs w:val="16"/>
              </w:rPr>
              <w:t>Any cross-customer data access is a data breach with regulatory and legal consequences. This SLO is a legal requirement under GDPR — not a performance target.</w:t>
            </w:r>
          </w:p>
        </w:tc>
      </w:tr>
      <w:tr w:rsidR="00D9097F" w14:paraId="26C9A304"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6A5698CC"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10" w:type="dxa"/>
              <w:bottom w:w="70" w:type="dxa"/>
              <w:right w:w="110" w:type="dxa"/>
            </w:tcMar>
          </w:tcPr>
          <w:p w14:paraId="1730CBBD" w14:textId="77777777" w:rsidR="00D9097F" w:rsidRDefault="00000000">
            <w:pPr>
              <w:spacing w:after="20"/>
            </w:pPr>
            <w:r>
              <w:rPr>
                <w:b/>
                <w:bCs/>
                <w:color w:val="712B13"/>
                <w:sz w:val="16"/>
                <w:szCs w:val="16"/>
              </w:rPr>
              <w:t>GDPR Article 32 (2018)</w:t>
            </w:r>
          </w:p>
          <w:p w14:paraId="4604CE47" w14:textId="77777777" w:rsidR="00D9097F" w:rsidRDefault="00000000">
            <w:pPr>
              <w:spacing w:after="16"/>
            </w:pPr>
            <w:r>
              <w:rPr>
                <w:color w:val="222222"/>
                <w:sz w:val="15"/>
                <w:szCs w:val="15"/>
              </w:rPr>
              <w:t>Data processors must implement appropriate technical measures to ensure security of personal data and prevent unauthorized access. Zero unauthorized access is the legal standard for systems handling customer data in the EU.</w:t>
            </w:r>
          </w:p>
          <w:p w14:paraId="416A519C" w14:textId="77777777" w:rsidR="00D9097F" w:rsidRDefault="00000000">
            <w:pPr>
              <w:spacing w:after="60"/>
            </w:pPr>
            <w:r>
              <w:rPr>
                <w:i/>
                <w:iCs/>
                <w:color w:val="888780"/>
                <w:sz w:val="13"/>
                <w:szCs w:val="13"/>
              </w:rPr>
              <w:t>Source: EU General Data Protection Regulation, Article 32 — Security of Processing</w:t>
            </w:r>
          </w:p>
        </w:tc>
      </w:tr>
      <w:tr w:rsidR="00D9097F" w14:paraId="12120CFF"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207FA606"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C10F84A" w14:textId="77777777" w:rsidR="00D9097F" w:rsidRDefault="00000000">
            <w:pPr>
              <w:spacing w:after="60"/>
            </w:pPr>
            <w:r>
              <w:rPr>
                <w:color w:val="222222"/>
                <w:sz w:val="16"/>
                <w:szCs w:val="16"/>
              </w:rPr>
              <w:t>Langfuse processes customer trace data and account information — data that falls squarely under GDPR. As a Berlin-based company with European customers, GDPR compliance is not optional. RBAC enforcement is the technical implementation of this legal requirement.</w:t>
            </w:r>
          </w:p>
        </w:tc>
      </w:tr>
    </w:tbl>
    <w:p w14:paraId="59894B82" w14:textId="77777777" w:rsidR="00D9097F" w:rsidRDefault="00D9097F">
      <w:pPr>
        <w:spacing w:after="30"/>
      </w:pPr>
    </w:p>
    <w:p w14:paraId="03228EE6" w14:textId="77777777" w:rsidR="00D9097F" w:rsidRDefault="00000000">
      <w:pPr>
        <w:spacing w:before="160" w:after="70"/>
      </w:pPr>
      <w:r>
        <w:rPr>
          <w:b/>
          <w:bCs/>
          <w:color w:val="712B13"/>
          <w:sz w:val="19"/>
          <w:szCs w:val="19"/>
        </w:rPr>
        <w:t>SLO #13 — Guardrail Effectiveness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67FFD0C4"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FAECE7"/>
            <w:tcMar>
              <w:top w:w="80" w:type="dxa"/>
              <w:left w:w="120" w:type="dxa"/>
              <w:bottom w:w="80" w:type="dxa"/>
              <w:right w:w="120" w:type="dxa"/>
            </w:tcMar>
          </w:tcPr>
          <w:p w14:paraId="5FD0CAC5" w14:textId="77777777" w:rsidR="00D9097F" w:rsidRDefault="00000000">
            <w:pPr>
              <w:spacing w:after="60"/>
            </w:pPr>
            <w:r>
              <w:rPr>
                <w:b/>
                <w:bCs/>
                <w:color w:val="712B13"/>
                <w:sz w:val="19"/>
                <w:szCs w:val="19"/>
              </w:rPr>
              <w:lastRenderedPageBreak/>
              <w:t xml:space="preserve">SLO #11  </w:t>
            </w:r>
            <w:r>
              <w:rPr>
                <w:b/>
                <w:bCs/>
                <w:color w:val="2C2C2A"/>
                <w:sz w:val="19"/>
                <w:szCs w:val="19"/>
              </w:rPr>
              <w:t>Guardrail Effectiveness</w:t>
            </w:r>
            <w:r>
              <w:rPr>
                <w:color w:val="2C2C2A"/>
                <w:sz w:val="15"/>
                <w:szCs w:val="15"/>
              </w:rPr>
              <w:t xml:space="preserve">   |   Target: </w:t>
            </w:r>
            <w:r>
              <w:rPr>
                <w:b/>
                <w:bCs/>
                <w:color w:val="712B13"/>
                <w:sz w:val="15"/>
                <w:szCs w:val="15"/>
              </w:rPr>
              <w:t>100% of defined adversarial test set blocked</w:t>
            </w:r>
          </w:p>
        </w:tc>
      </w:tr>
      <w:tr w:rsidR="00D9097F" w14:paraId="588A78A2"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BF8E0F1"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75DA7369" w14:textId="77777777" w:rsidR="00D9097F" w:rsidRDefault="00000000">
            <w:pPr>
              <w:spacing w:after="60"/>
            </w:pPr>
            <w:r>
              <w:rPr>
                <w:color w:val="222222"/>
                <w:sz w:val="16"/>
                <w:szCs w:val="16"/>
              </w:rPr>
              <w:t>Measured against 7 defined attack types: prompt injection, jailbreak, PII extraction, role override, SQL injection, system prompt override, and PII in input. 100% on a defined set is the correct framing.</w:t>
            </w:r>
          </w:p>
        </w:tc>
      </w:tr>
      <w:tr w:rsidR="00D9097F" w14:paraId="7C6B8AC6"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342B17F"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FAECE7"/>
            <w:tcMar>
              <w:top w:w="70" w:type="dxa"/>
              <w:left w:w="110" w:type="dxa"/>
              <w:bottom w:w="70" w:type="dxa"/>
              <w:right w:w="110" w:type="dxa"/>
            </w:tcMar>
          </w:tcPr>
          <w:p w14:paraId="40A03C63" w14:textId="77777777" w:rsidR="00D9097F" w:rsidRDefault="00000000">
            <w:pPr>
              <w:spacing w:after="20"/>
            </w:pPr>
            <w:r>
              <w:rPr>
                <w:b/>
                <w:bCs/>
                <w:color w:val="712B13"/>
                <w:sz w:val="16"/>
                <w:szCs w:val="16"/>
              </w:rPr>
              <w:t>OWASP LLM Top 10 (2024)</w:t>
            </w:r>
          </w:p>
          <w:p w14:paraId="5E398757" w14:textId="77777777" w:rsidR="00D9097F" w:rsidRDefault="00000000">
            <w:pPr>
              <w:spacing w:after="16"/>
            </w:pPr>
            <w:r>
              <w:rPr>
                <w:color w:val="222222"/>
                <w:sz w:val="15"/>
                <w:szCs w:val="15"/>
              </w:rPr>
              <w:t>LLM-01: Prompt Injection is the #1 LLM application risk. LLM-06: Sensitive Information Disclosure is the 6th. Production systems must demonstrate 100% block rate on defined prompt injection and data extraction test cases as a baseline security control.</w:t>
            </w:r>
          </w:p>
          <w:p w14:paraId="600A0B97" w14:textId="77777777" w:rsidR="00D9097F" w:rsidRDefault="00000000">
            <w:pPr>
              <w:spacing w:after="60"/>
            </w:pPr>
            <w:r>
              <w:rPr>
                <w:i/>
                <w:iCs/>
                <w:color w:val="888780"/>
                <w:sz w:val="13"/>
                <w:szCs w:val="13"/>
              </w:rPr>
              <w:t>Source: OWASP Top 10 for Large Language Model Applications, 2024</w:t>
            </w:r>
          </w:p>
        </w:tc>
      </w:tr>
      <w:tr w:rsidR="00D9097F" w14:paraId="510CDA0C"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44B7D5DA"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5B93D2DA" w14:textId="77777777" w:rsidR="00D9097F" w:rsidRDefault="00000000">
            <w:pPr>
              <w:spacing w:after="60"/>
            </w:pPr>
            <w:r>
              <w:rPr>
                <w:color w:val="222222"/>
                <w:sz w:val="16"/>
                <w:szCs w:val="16"/>
              </w:rPr>
              <w:t>OWASP is the definitive security reference for LLM applications — TC-09 (prompt injection) and the adversarial test set are designed against the exact attack vectors OWASP identifies. OWASP LLM Top 10 is widely recognised in enterprise security audits.</w:t>
            </w:r>
          </w:p>
        </w:tc>
      </w:tr>
    </w:tbl>
    <w:p w14:paraId="7515EAED" w14:textId="77777777" w:rsidR="00D9097F" w:rsidRDefault="00D9097F">
      <w:pPr>
        <w:spacing w:after="30"/>
      </w:pPr>
    </w:p>
    <w:p w14:paraId="64E28DDE" w14:textId="77777777" w:rsidR="00D9097F" w:rsidRDefault="00D9097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9097F" w14:paraId="6218A795" w14:textId="77777777">
        <w:tc>
          <w:tcPr>
            <w:tcW w:w="9360" w:type="dxa"/>
            <w:tcBorders>
              <w:top w:val="single" w:sz="10" w:space="0" w:color="27500A"/>
              <w:left w:val="single" w:sz="10" w:space="0" w:color="27500A"/>
              <w:bottom w:val="single" w:sz="10" w:space="0" w:color="27500A"/>
              <w:right w:val="single" w:sz="10" w:space="0" w:color="27500A"/>
            </w:tcBorders>
            <w:shd w:val="clear" w:color="auto" w:fill="27500A"/>
            <w:tcMar>
              <w:top w:w="100" w:type="dxa"/>
              <w:left w:w="140" w:type="dxa"/>
              <w:bottom w:w="100" w:type="dxa"/>
              <w:right w:w="140" w:type="dxa"/>
            </w:tcMar>
          </w:tcPr>
          <w:p w14:paraId="62695C95" w14:textId="77777777" w:rsidR="00D9097F" w:rsidRDefault="00000000">
            <w:pPr>
              <w:spacing w:after="20"/>
            </w:pPr>
            <w:r>
              <w:rPr>
                <w:b/>
                <w:bCs/>
                <w:color w:val="FFFFFF"/>
                <w:sz w:val="24"/>
                <w:szCs w:val="24"/>
              </w:rPr>
              <w:t>Cost &amp; Reliability</w:t>
            </w:r>
          </w:p>
          <w:p w14:paraId="7F119F49" w14:textId="77777777" w:rsidR="00D9097F" w:rsidRDefault="00000000">
            <w:pPr>
              <w:spacing w:after="60"/>
            </w:pPr>
            <w:r>
              <w:rPr>
                <w:color w:val="EAF3DE"/>
                <w:sz w:val="16"/>
                <w:szCs w:val="16"/>
              </w:rPr>
              <w:t>Operational economics and system availability</w:t>
            </w:r>
          </w:p>
        </w:tc>
      </w:tr>
    </w:tbl>
    <w:p w14:paraId="66E1E6E7" w14:textId="77777777" w:rsidR="00D9097F" w:rsidRDefault="00D9097F">
      <w:pPr>
        <w:spacing w:after="40"/>
      </w:pPr>
    </w:p>
    <w:p w14:paraId="03641BB7" w14:textId="77777777" w:rsidR="00D9097F" w:rsidRDefault="00000000">
      <w:pPr>
        <w:spacing w:before="60" w:after="70"/>
      </w:pPr>
      <w:r>
        <w:rPr>
          <w:b/>
          <w:bCs/>
          <w:color w:val="27500A"/>
          <w:sz w:val="19"/>
          <w:szCs w:val="19"/>
        </w:rPr>
        <w:t>SLO #14 — Cost Per Ticket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7660"/>
      </w:tblGrid>
      <w:tr w:rsidR="00D9097F" w14:paraId="23F27E29" w14:textId="77777777">
        <w:tc>
          <w:tcPr>
            <w:tcW w:w="9360" w:type="dxa"/>
            <w:gridSpan w:val="2"/>
            <w:tcBorders>
              <w:top w:val="single" w:sz="4" w:space="0" w:color="BBBBBB"/>
              <w:left w:val="single" w:sz="4" w:space="0" w:color="BBBBBB"/>
              <w:bottom w:val="single" w:sz="4" w:space="0" w:color="BBBBBB"/>
              <w:right w:val="single" w:sz="4" w:space="0" w:color="BBBBBB"/>
            </w:tcBorders>
            <w:shd w:val="clear" w:color="auto" w:fill="EAF3DE"/>
            <w:tcMar>
              <w:top w:w="80" w:type="dxa"/>
              <w:left w:w="120" w:type="dxa"/>
              <w:bottom w:w="80" w:type="dxa"/>
              <w:right w:w="120" w:type="dxa"/>
            </w:tcMar>
          </w:tcPr>
          <w:p w14:paraId="3287EF42" w14:textId="77777777" w:rsidR="00D9097F" w:rsidRDefault="00000000">
            <w:pPr>
              <w:spacing w:after="60"/>
            </w:pPr>
            <w:r>
              <w:rPr>
                <w:b/>
                <w:bCs/>
                <w:color w:val="27500A"/>
                <w:sz w:val="19"/>
                <w:szCs w:val="19"/>
              </w:rPr>
              <w:t xml:space="preserve">SLO #6  </w:t>
            </w:r>
            <w:r>
              <w:rPr>
                <w:b/>
                <w:bCs/>
                <w:color w:val="2C2C2A"/>
                <w:sz w:val="19"/>
                <w:szCs w:val="19"/>
              </w:rPr>
              <w:t>Cost Per Ticket</w:t>
            </w:r>
            <w:r>
              <w:rPr>
                <w:color w:val="2C2C2A"/>
                <w:sz w:val="15"/>
                <w:szCs w:val="15"/>
              </w:rPr>
              <w:t xml:space="preserve">   |   Target: </w:t>
            </w:r>
            <w:r>
              <w:rPr>
                <w:b/>
                <w:bCs/>
                <w:color w:val="27500A"/>
                <w:sz w:val="15"/>
                <w:szCs w:val="15"/>
              </w:rPr>
              <w:t>≤ $0.05 avg (hard cap $0.15)</w:t>
            </w:r>
          </w:p>
        </w:tc>
      </w:tr>
      <w:tr w:rsidR="00D9097F" w14:paraId="7E165531"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28DEB3CD" w14:textId="77777777" w:rsidR="00D9097F" w:rsidRDefault="00000000">
            <w:pPr>
              <w:spacing w:after="60"/>
            </w:pPr>
            <w:r>
              <w:rPr>
                <w:b/>
                <w:bCs/>
                <w:color w:val="2C2C2A"/>
                <w:sz w:val="16"/>
                <w:szCs w:val="16"/>
              </w:rPr>
              <w:t>Why this target</w:t>
            </w:r>
          </w:p>
        </w:tc>
        <w:tc>
          <w:tcPr>
            <w:tcW w:w="76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10" w:type="dxa"/>
              <w:bottom w:w="70" w:type="dxa"/>
              <w:right w:w="110" w:type="dxa"/>
            </w:tcMar>
          </w:tcPr>
          <w:p w14:paraId="02A48F33" w14:textId="77777777" w:rsidR="00D9097F" w:rsidRDefault="00000000">
            <w:pPr>
              <w:spacing w:after="60"/>
            </w:pPr>
            <w:r>
              <w:rPr>
                <w:color w:val="222222"/>
                <w:sz w:val="16"/>
                <w:szCs w:val="16"/>
              </w:rPr>
              <w:t>Cost per ticket is the primary business viability metric. Human L1 support costs $8–15 per ticket (fully loaded). AI inference must remain well below this to justify deployment.</w:t>
            </w:r>
          </w:p>
        </w:tc>
      </w:tr>
      <w:tr w:rsidR="00D9097F" w14:paraId="20E62AA9"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39CF2573" w14:textId="77777777" w:rsidR="00D9097F" w:rsidRDefault="00000000">
            <w:pPr>
              <w:spacing w:after="60"/>
            </w:pPr>
            <w:r>
              <w:rPr>
                <w:b/>
                <w:bCs/>
                <w:color w:val="2C2C2A"/>
                <w:sz w:val="16"/>
                <w:szCs w:val="16"/>
              </w:rPr>
              <w:t>Key citation</w:t>
            </w:r>
          </w:p>
        </w:tc>
        <w:tc>
          <w:tcPr>
            <w:tcW w:w="7660" w:type="dxa"/>
            <w:tcBorders>
              <w:top w:val="single" w:sz="1" w:space="0" w:color="CCCCCC"/>
              <w:left w:val="single" w:sz="1" w:space="0" w:color="CCCCCC"/>
              <w:bottom w:val="single" w:sz="1" w:space="0" w:color="CCCCCC"/>
              <w:right w:val="single" w:sz="1" w:space="0" w:color="CCCCCC"/>
            </w:tcBorders>
            <w:shd w:val="clear" w:color="auto" w:fill="EAF3DE"/>
            <w:tcMar>
              <w:top w:w="70" w:type="dxa"/>
              <w:left w:w="110" w:type="dxa"/>
              <w:bottom w:w="70" w:type="dxa"/>
              <w:right w:w="110" w:type="dxa"/>
            </w:tcMar>
          </w:tcPr>
          <w:p w14:paraId="5ADC85DE" w14:textId="77777777" w:rsidR="00D9097F" w:rsidRDefault="00000000">
            <w:pPr>
              <w:spacing w:after="20"/>
            </w:pPr>
            <w:r>
              <w:rPr>
                <w:b/>
                <w:bCs/>
                <w:color w:val="27500A"/>
                <w:sz w:val="16"/>
                <w:szCs w:val="16"/>
              </w:rPr>
              <w:t>Azure OpenAI GPT-4o mini Pricing (2024)</w:t>
            </w:r>
          </w:p>
          <w:p w14:paraId="59086E5D" w14:textId="77777777" w:rsidR="00D9097F" w:rsidRDefault="00000000">
            <w:pPr>
              <w:spacing w:after="16"/>
            </w:pPr>
            <w:r>
              <w:rPr>
                <w:color w:val="222222"/>
                <w:sz w:val="15"/>
                <w:szCs w:val="15"/>
              </w:rPr>
              <w:t>Input: $0.15/million tokens. Output: $0.60/million tokens. A typical 5-agent support ticket (5 × ~1,500 input + 500 output tokens) costs approximately $0.001–0.005 per ticket in model inference — well below the $0.05 target.</w:t>
            </w:r>
          </w:p>
          <w:p w14:paraId="337EC206" w14:textId="77777777" w:rsidR="00D9097F" w:rsidRDefault="00000000">
            <w:pPr>
              <w:spacing w:after="60"/>
            </w:pPr>
            <w:r>
              <w:rPr>
                <w:i/>
                <w:iCs/>
                <w:color w:val="888780"/>
                <w:sz w:val="13"/>
                <w:szCs w:val="13"/>
              </w:rPr>
              <w:t>Source: Azure OpenAI Service Pricing, June 2024</w:t>
            </w:r>
          </w:p>
        </w:tc>
      </w:tr>
      <w:tr w:rsidR="00D9097F" w14:paraId="42030C22" w14:textId="77777777">
        <w:tc>
          <w:tcPr>
            <w:tcW w:w="170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38FF5E00" w14:textId="77777777" w:rsidR="00D9097F" w:rsidRDefault="00000000">
            <w:pPr>
              <w:spacing w:after="60"/>
            </w:pPr>
            <w:r>
              <w:rPr>
                <w:b/>
                <w:bCs/>
                <w:color w:val="2C2C2A"/>
                <w:sz w:val="16"/>
                <w:szCs w:val="16"/>
              </w:rPr>
              <w:t>Why relevant to this project</w:t>
            </w:r>
          </w:p>
        </w:tc>
        <w:tc>
          <w:tcPr>
            <w:tcW w:w="7660" w:type="dxa"/>
            <w:tcBorders>
              <w:top w:val="single" w:sz="1" w:space="0" w:color="CCCCCC"/>
              <w:left w:val="single" w:sz="1" w:space="0" w:color="CCCCCC"/>
              <w:bottom w:val="single" w:sz="1" w:space="0" w:color="CCCCCC"/>
              <w:right w:val="single" w:sz="1" w:space="0" w:color="CCCCCC"/>
            </w:tcBorders>
            <w:shd w:val="clear" w:color="auto" w:fill="F1EFE8"/>
            <w:tcMar>
              <w:top w:w="70" w:type="dxa"/>
              <w:left w:w="110" w:type="dxa"/>
              <w:bottom w:w="70" w:type="dxa"/>
              <w:right w:w="110" w:type="dxa"/>
            </w:tcMar>
          </w:tcPr>
          <w:p w14:paraId="37C60037" w14:textId="77777777" w:rsidR="00D9097F" w:rsidRDefault="00000000">
            <w:pPr>
              <w:spacing w:after="60"/>
            </w:pPr>
            <w:r>
              <w:rPr>
                <w:color w:val="222222"/>
                <w:sz w:val="16"/>
                <w:szCs w:val="16"/>
              </w:rPr>
              <w:t>Our system uses Azure OpenAI GPT-4o mini specifically. Using the actual pricing of our chosen model is the most honest and precise citation possible — no extrapolation needed. The $0.05 target gives a 10x safety margin even for complex multi-agent traces.</w:t>
            </w:r>
          </w:p>
        </w:tc>
      </w:tr>
    </w:tbl>
    <w:p w14:paraId="09F53924" w14:textId="77777777" w:rsidR="00D9097F" w:rsidRDefault="00D9097F">
      <w:pPr>
        <w:spacing w:after="30"/>
      </w:pPr>
    </w:p>
    <w:p w14:paraId="3DC02308" w14:textId="77777777" w:rsidR="00D9097F" w:rsidRDefault="00000000">
      <w:pPr>
        <w:pBdr>
          <w:top w:val="single" w:sz="4" w:space="2" w:color="0F6E56"/>
        </w:pBdr>
        <w:spacing w:before="200" w:after="60"/>
      </w:pPr>
      <w:r>
        <w:rPr>
          <w:b/>
          <w:bCs/>
          <w:color w:val="085041"/>
        </w:rPr>
        <w:t>Citation selection methodology</w:t>
      </w:r>
    </w:p>
    <w:p w14:paraId="0F0CADB8" w14:textId="77777777" w:rsidR="00D9097F" w:rsidRDefault="00000000">
      <w:pPr>
        <w:spacing w:after="40"/>
      </w:pPr>
      <w:r>
        <w:rPr>
          <w:color w:val="444441"/>
          <w:sz w:val="16"/>
          <w:szCs w:val="16"/>
        </w:rPr>
        <w:t>One citation per SLO was selected based on direct relevance to the project context: (1) the closest commercial system of the same type, (2) the academic benchmark for the same technical capability, or (3) the applicable legal/regulatory standard. General industry surveys were excluded unless no more specific source existed. The NIIT capstone specification (README) is cited only where it is the primary mandate with no external equivalent.</w:t>
      </w:r>
    </w:p>
    <w:p w14:paraId="74712E14" w14:textId="77777777" w:rsidR="00D9097F" w:rsidRDefault="00D9097F"/>
    <w:p w14:paraId="3501A4FC" w14:textId="77777777" w:rsidR="00D9097F" w:rsidRDefault="00D9097F"/>
    <w:p w14:paraId="1B232ACB" w14:textId="77777777" w:rsidR="00997975" w:rsidRDefault="00000000">
      <w:r>
        <w:br w:type="page"/>
      </w:r>
    </w:p>
    <w:p w14:paraId="2F2D8005" w14:textId="77777777" w:rsidR="00997975" w:rsidRDefault="00000000">
      <w:pPr>
        <w:pStyle w:val="Heading1"/>
      </w:pPr>
      <w:r>
        <w:lastRenderedPageBreak/>
        <w:t>Test Case Coverage by SLO</w:t>
      </w:r>
    </w:p>
    <w:p w14:paraId="7F950439" w14:textId="77777777" w:rsidR="00997975" w:rsidRDefault="00000000">
      <w:pPr>
        <w:spacing w:after="200"/>
      </w:pPr>
      <w:r>
        <w:t>Maps each of the 14 SLOs to the golden set test cases that exercise it. Note: SLO #15 (System Uptime) was removed — unmeasurable without hosting infrastructure. Context Precision is SLO #2, Answer Relevance is SLO #10.</w:t>
      </w:r>
    </w:p>
    <w:tbl>
      <w:tblPr>
        <w:tblW w:w="0" w:type="auto"/>
        <w:tblCellMar>
          <w:left w:w="0" w:type="dxa"/>
          <w:right w:w="0" w:type="dxa"/>
        </w:tblCellMar>
        <w:tblLook w:val="04A0" w:firstRow="1" w:lastRow="0" w:firstColumn="1" w:lastColumn="0" w:noHBand="0" w:noVBand="1"/>
      </w:tblPr>
      <w:tblGrid>
        <w:gridCol w:w="1517"/>
        <w:gridCol w:w="1268"/>
        <w:gridCol w:w="1254"/>
        <w:gridCol w:w="3353"/>
        <w:gridCol w:w="3048"/>
      </w:tblGrid>
      <w:tr w:rsidR="008D6229" w14:paraId="4A86D7AD" w14:textId="77777777">
        <w:tc>
          <w:tcPr>
            <w:tcW w:w="1440" w:type="dxa"/>
            <w:shd w:val="clear" w:color="auto" w:fill="1F4E79"/>
            <w:tcMar>
              <w:top w:w="0" w:type="dxa"/>
              <w:left w:w="108" w:type="dxa"/>
              <w:bottom w:w="0" w:type="dxa"/>
              <w:right w:w="108" w:type="dxa"/>
            </w:tcMar>
            <w:hideMark/>
          </w:tcPr>
          <w:p w14:paraId="063FED60" w14:textId="77777777" w:rsidR="008D6229" w:rsidRDefault="008D6229">
            <w:pPr>
              <w:rPr>
                <w:kern w:val="2"/>
                <w14:ligatures w14:val="standardContextual"/>
              </w:rPr>
            </w:pPr>
            <w:r>
              <w:rPr>
                <w:b/>
                <w:bCs/>
                <w:color w:val="FFFFFF"/>
                <w:sz w:val="20"/>
                <w:szCs w:val="20"/>
              </w:rPr>
              <w:t>SLO</w:t>
            </w:r>
          </w:p>
        </w:tc>
        <w:tc>
          <w:tcPr>
            <w:tcW w:w="1296" w:type="dxa"/>
            <w:shd w:val="clear" w:color="auto" w:fill="1F4E79"/>
            <w:tcMar>
              <w:top w:w="0" w:type="dxa"/>
              <w:left w:w="108" w:type="dxa"/>
              <w:bottom w:w="0" w:type="dxa"/>
              <w:right w:w="108" w:type="dxa"/>
            </w:tcMar>
            <w:hideMark/>
          </w:tcPr>
          <w:p w14:paraId="5D822C34" w14:textId="77777777" w:rsidR="008D6229" w:rsidRDefault="008D6229">
            <w:r>
              <w:rPr>
                <w:b/>
                <w:bCs/>
                <w:color w:val="FFFFFF"/>
                <w:sz w:val="20"/>
                <w:szCs w:val="20"/>
              </w:rPr>
              <w:t>Category</w:t>
            </w:r>
          </w:p>
        </w:tc>
        <w:tc>
          <w:tcPr>
            <w:tcW w:w="1296" w:type="dxa"/>
            <w:shd w:val="clear" w:color="auto" w:fill="1F4E79"/>
            <w:tcMar>
              <w:top w:w="0" w:type="dxa"/>
              <w:left w:w="108" w:type="dxa"/>
              <w:bottom w:w="0" w:type="dxa"/>
              <w:right w:w="108" w:type="dxa"/>
            </w:tcMar>
            <w:hideMark/>
          </w:tcPr>
          <w:p w14:paraId="65E6A6CC" w14:textId="77777777" w:rsidR="008D6229" w:rsidRDefault="008D6229">
            <w:r>
              <w:rPr>
                <w:b/>
                <w:bCs/>
                <w:color w:val="FFFFFF"/>
                <w:sz w:val="20"/>
                <w:szCs w:val="20"/>
              </w:rPr>
              <w:t>Target</w:t>
            </w:r>
          </w:p>
        </w:tc>
        <w:tc>
          <w:tcPr>
            <w:tcW w:w="3672" w:type="dxa"/>
            <w:shd w:val="clear" w:color="auto" w:fill="1F4E79"/>
            <w:tcMar>
              <w:top w:w="0" w:type="dxa"/>
              <w:left w:w="108" w:type="dxa"/>
              <w:bottom w:w="0" w:type="dxa"/>
              <w:right w:w="108" w:type="dxa"/>
            </w:tcMar>
            <w:hideMark/>
          </w:tcPr>
          <w:p w14:paraId="5C99CD21" w14:textId="77777777" w:rsidR="008D6229" w:rsidRDefault="008D6229">
            <w:r>
              <w:rPr>
                <w:b/>
                <w:bCs/>
                <w:color w:val="FFFFFF"/>
                <w:sz w:val="20"/>
                <w:szCs w:val="20"/>
              </w:rPr>
              <w:t>Test Cases</w:t>
            </w:r>
          </w:p>
        </w:tc>
        <w:tc>
          <w:tcPr>
            <w:tcW w:w="3312" w:type="dxa"/>
            <w:shd w:val="clear" w:color="auto" w:fill="1F4E79"/>
            <w:tcMar>
              <w:top w:w="0" w:type="dxa"/>
              <w:left w:w="108" w:type="dxa"/>
              <w:bottom w:w="0" w:type="dxa"/>
              <w:right w:w="108" w:type="dxa"/>
            </w:tcMar>
            <w:hideMark/>
          </w:tcPr>
          <w:p w14:paraId="135F4FD8" w14:textId="77777777" w:rsidR="008D6229" w:rsidRDefault="008D6229">
            <w:r>
              <w:rPr>
                <w:b/>
                <w:bCs/>
                <w:color w:val="FFFFFF"/>
                <w:sz w:val="20"/>
                <w:szCs w:val="20"/>
              </w:rPr>
              <w:t>Notes</w:t>
            </w:r>
          </w:p>
        </w:tc>
      </w:tr>
      <w:tr w:rsidR="008D6229" w14:paraId="4F016A70" w14:textId="77777777">
        <w:tc>
          <w:tcPr>
            <w:tcW w:w="1440" w:type="dxa"/>
            <w:shd w:val="clear" w:color="auto" w:fill="FFFFFF"/>
            <w:tcMar>
              <w:top w:w="0" w:type="dxa"/>
              <w:left w:w="108" w:type="dxa"/>
              <w:bottom w:w="0" w:type="dxa"/>
              <w:right w:w="108" w:type="dxa"/>
            </w:tcMar>
            <w:hideMark/>
          </w:tcPr>
          <w:p w14:paraId="320CE941" w14:textId="77777777" w:rsidR="008D6229" w:rsidRDefault="008D6229">
            <w:r>
              <w:rPr>
                <w:b/>
                <w:bCs/>
                <w:color w:val="000000"/>
                <w:sz w:val="18"/>
                <w:szCs w:val="18"/>
              </w:rPr>
              <w:t>SLO #1</w:t>
            </w:r>
            <w:r>
              <w:rPr>
                <w:color w:val="000000"/>
                <w:sz w:val="18"/>
                <w:szCs w:val="18"/>
              </w:rPr>
              <w:br/>
              <w:t>Task Success Rate (TSR)</w:t>
            </w:r>
          </w:p>
        </w:tc>
        <w:tc>
          <w:tcPr>
            <w:tcW w:w="1296" w:type="dxa"/>
            <w:shd w:val="clear" w:color="auto" w:fill="FFFFFF"/>
            <w:tcMar>
              <w:top w:w="0" w:type="dxa"/>
              <w:left w:w="108" w:type="dxa"/>
              <w:bottom w:w="0" w:type="dxa"/>
              <w:right w:w="108" w:type="dxa"/>
            </w:tcMar>
            <w:hideMark/>
          </w:tcPr>
          <w:p w14:paraId="345D418C" w14:textId="77777777" w:rsidR="008D6229" w:rsidRDefault="008D6229">
            <w:r>
              <w:rPr>
                <w:color w:val="000000"/>
                <w:sz w:val="18"/>
                <w:szCs w:val="18"/>
              </w:rPr>
              <w:t>Quality</w:t>
            </w:r>
          </w:p>
        </w:tc>
        <w:tc>
          <w:tcPr>
            <w:tcW w:w="1296" w:type="dxa"/>
            <w:shd w:val="clear" w:color="auto" w:fill="FFFFFF"/>
            <w:tcMar>
              <w:top w:w="0" w:type="dxa"/>
              <w:left w:w="108" w:type="dxa"/>
              <w:bottom w:w="0" w:type="dxa"/>
              <w:right w:w="108" w:type="dxa"/>
            </w:tcMar>
            <w:hideMark/>
          </w:tcPr>
          <w:p w14:paraId="78A87704" w14:textId="77777777" w:rsidR="008D6229" w:rsidRDefault="008D6229">
            <w:r>
              <w:rPr>
                <w:color w:val="000000"/>
                <w:sz w:val="18"/>
                <w:szCs w:val="18"/>
              </w:rPr>
              <w:t>≥ 90%</w:t>
            </w:r>
          </w:p>
        </w:tc>
        <w:tc>
          <w:tcPr>
            <w:tcW w:w="3672" w:type="dxa"/>
            <w:shd w:val="clear" w:color="auto" w:fill="FFFFFF"/>
            <w:tcMar>
              <w:top w:w="0" w:type="dxa"/>
              <w:left w:w="108" w:type="dxa"/>
              <w:bottom w:w="0" w:type="dxa"/>
              <w:right w:w="108" w:type="dxa"/>
            </w:tcMar>
            <w:hideMark/>
          </w:tcPr>
          <w:p w14:paraId="71EAC884" w14:textId="77777777" w:rsidR="008D6229" w:rsidRDefault="008D6229">
            <w:r>
              <w:rPr>
                <w:color w:val="000000"/>
                <w:sz w:val="18"/>
                <w:szCs w:val="18"/>
              </w:rPr>
              <w:t>All 51 cases — TC-01 to TC-51</w:t>
            </w:r>
          </w:p>
        </w:tc>
        <w:tc>
          <w:tcPr>
            <w:tcW w:w="3312" w:type="dxa"/>
            <w:shd w:val="clear" w:color="auto" w:fill="FFFFFF"/>
            <w:tcMar>
              <w:top w:w="0" w:type="dxa"/>
              <w:left w:w="108" w:type="dxa"/>
              <w:bottom w:w="0" w:type="dxa"/>
              <w:right w:w="108" w:type="dxa"/>
            </w:tcMar>
            <w:hideMark/>
          </w:tcPr>
          <w:p w14:paraId="571B57BA" w14:textId="77777777" w:rsidR="008D6229" w:rsidRDefault="008D6229">
            <w:r>
              <w:rPr>
                <w:color w:val="000000"/>
                <w:sz w:val="18"/>
                <w:szCs w:val="18"/>
              </w:rPr>
              <w:t>48 classification cases + 3 guardrail blocks.</w:t>
            </w:r>
          </w:p>
        </w:tc>
      </w:tr>
      <w:tr w:rsidR="008D6229" w14:paraId="57EB43E9" w14:textId="77777777">
        <w:tc>
          <w:tcPr>
            <w:tcW w:w="1440" w:type="dxa"/>
            <w:shd w:val="clear" w:color="auto" w:fill="EBF3FB"/>
            <w:tcMar>
              <w:top w:w="0" w:type="dxa"/>
              <w:left w:w="108" w:type="dxa"/>
              <w:bottom w:w="0" w:type="dxa"/>
              <w:right w:w="108" w:type="dxa"/>
            </w:tcMar>
            <w:hideMark/>
          </w:tcPr>
          <w:p w14:paraId="045D2BCC" w14:textId="77777777" w:rsidR="008D6229" w:rsidRDefault="008D6229">
            <w:r>
              <w:rPr>
                <w:b/>
                <w:bCs/>
                <w:color w:val="000000"/>
                <w:sz w:val="18"/>
                <w:szCs w:val="18"/>
              </w:rPr>
              <w:t>SLO #2</w:t>
            </w:r>
            <w:r>
              <w:rPr>
                <w:color w:val="000000"/>
                <w:sz w:val="18"/>
                <w:szCs w:val="18"/>
              </w:rPr>
              <w:br/>
              <w:t>Answer Groundedness / Faithfulness</w:t>
            </w:r>
          </w:p>
        </w:tc>
        <w:tc>
          <w:tcPr>
            <w:tcW w:w="1296" w:type="dxa"/>
            <w:shd w:val="clear" w:color="auto" w:fill="EBF3FB"/>
            <w:tcMar>
              <w:top w:w="0" w:type="dxa"/>
              <w:left w:w="108" w:type="dxa"/>
              <w:bottom w:w="0" w:type="dxa"/>
              <w:right w:w="108" w:type="dxa"/>
            </w:tcMar>
            <w:hideMark/>
          </w:tcPr>
          <w:p w14:paraId="0565F42D" w14:textId="77777777" w:rsidR="008D6229" w:rsidRDefault="008D6229">
            <w:r>
              <w:rPr>
                <w:color w:val="000000"/>
                <w:sz w:val="18"/>
                <w:szCs w:val="18"/>
              </w:rPr>
              <w:t>Quality</w:t>
            </w:r>
          </w:p>
        </w:tc>
        <w:tc>
          <w:tcPr>
            <w:tcW w:w="1296" w:type="dxa"/>
            <w:shd w:val="clear" w:color="auto" w:fill="EBF3FB"/>
            <w:tcMar>
              <w:top w:w="0" w:type="dxa"/>
              <w:left w:w="108" w:type="dxa"/>
              <w:bottom w:w="0" w:type="dxa"/>
              <w:right w:w="108" w:type="dxa"/>
            </w:tcMar>
            <w:hideMark/>
          </w:tcPr>
          <w:p w14:paraId="33550544" w14:textId="77777777" w:rsidR="008D6229" w:rsidRDefault="008D6229">
            <w:r>
              <w:rPr>
                <w:color w:val="000000"/>
                <w:sz w:val="18"/>
                <w:szCs w:val="18"/>
              </w:rPr>
              <w:t>≥ 95%</w:t>
            </w:r>
          </w:p>
        </w:tc>
        <w:tc>
          <w:tcPr>
            <w:tcW w:w="3672" w:type="dxa"/>
            <w:shd w:val="clear" w:color="auto" w:fill="EBF3FB"/>
            <w:tcMar>
              <w:top w:w="0" w:type="dxa"/>
              <w:left w:w="108" w:type="dxa"/>
              <w:bottom w:w="0" w:type="dxa"/>
              <w:right w:w="108" w:type="dxa"/>
            </w:tcMar>
            <w:hideMark/>
          </w:tcPr>
          <w:p w14:paraId="5FB7CDE7" w14:textId="77777777" w:rsidR="008D6229" w:rsidRDefault="008D6229">
            <w:r>
              <w:rPr>
                <w:color w:val="000000"/>
                <w:sz w:val="18"/>
                <w:szCs w:val="18"/>
              </w:rPr>
              <w:t>All 48 non-blocked cases.</w:t>
            </w:r>
          </w:p>
        </w:tc>
        <w:tc>
          <w:tcPr>
            <w:tcW w:w="3312" w:type="dxa"/>
            <w:shd w:val="clear" w:color="auto" w:fill="EBF3FB"/>
            <w:tcMar>
              <w:top w:w="0" w:type="dxa"/>
              <w:left w:w="108" w:type="dxa"/>
              <w:bottom w:w="0" w:type="dxa"/>
              <w:right w:w="108" w:type="dxa"/>
            </w:tcMar>
            <w:hideMark/>
          </w:tcPr>
          <w:p w14:paraId="29630CB5" w14:textId="77777777" w:rsidR="008D6229" w:rsidRDefault="008D6229">
            <w:r>
              <w:rPr>
                <w:color w:val="000000"/>
                <w:sz w:val="18"/>
                <w:szCs w:val="18"/>
              </w:rPr>
              <w:t>Scored by LLM-as-judge against answer rubric.</w:t>
            </w:r>
          </w:p>
        </w:tc>
      </w:tr>
      <w:tr w:rsidR="008D6229" w14:paraId="1B7D0FD8" w14:textId="77777777">
        <w:tc>
          <w:tcPr>
            <w:tcW w:w="1440" w:type="dxa"/>
            <w:shd w:val="clear" w:color="auto" w:fill="FFFFFF"/>
            <w:tcMar>
              <w:top w:w="0" w:type="dxa"/>
              <w:left w:w="108" w:type="dxa"/>
              <w:bottom w:w="0" w:type="dxa"/>
              <w:right w:w="108" w:type="dxa"/>
            </w:tcMar>
            <w:hideMark/>
          </w:tcPr>
          <w:p w14:paraId="77991869" w14:textId="77777777" w:rsidR="008D6229" w:rsidRDefault="008D6229">
            <w:r>
              <w:rPr>
                <w:b/>
                <w:bCs/>
                <w:color w:val="000000"/>
                <w:sz w:val="18"/>
                <w:szCs w:val="18"/>
              </w:rPr>
              <w:t>SLO #3</w:t>
            </w:r>
            <w:r>
              <w:rPr>
                <w:color w:val="000000"/>
                <w:sz w:val="18"/>
                <w:szCs w:val="18"/>
              </w:rPr>
              <w:br/>
              <w:t>SQL Correctness</w:t>
            </w:r>
          </w:p>
        </w:tc>
        <w:tc>
          <w:tcPr>
            <w:tcW w:w="1296" w:type="dxa"/>
            <w:shd w:val="clear" w:color="auto" w:fill="FFFFFF"/>
            <w:tcMar>
              <w:top w:w="0" w:type="dxa"/>
              <w:left w:w="108" w:type="dxa"/>
              <w:bottom w:w="0" w:type="dxa"/>
              <w:right w:w="108" w:type="dxa"/>
            </w:tcMar>
            <w:hideMark/>
          </w:tcPr>
          <w:p w14:paraId="474A5B05" w14:textId="77777777" w:rsidR="008D6229" w:rsidRDefault="008D6229">
            <w:r>
              <w:rPr>
                <w:color w:val="000000"/>
                <w:sz w:val="18"/>
                <w:szCs w:val="18"/>
              </w:rPr>
              <w:t>Quality</w:t>
            </w:r>
          </w:p>
        </w:tc>
        <w:tc>
          <w:tcPr>
            <w:tcW w:w="1296" w:type="dxa"/>
            <w:shd w:val="clear" w:color="auto" w:fill="FFFFFF"/>
            <w:tcMar>
              <w:top w:w="0" w:type="dxa"/>
              <w:left w:w="108" w:type="dxa"/>
              <w:bottom w:w="0" w:type="dxa"/>
              <w:right w:w="108" w:type="dxa"/>
            </w:tcMar>
            <w:hideMark/>
          </w:tcPr>
          <w:p w14:paraId="0A92B7CB" w14:textId="77777777" w:rsidR="008D6229" w:rsidRDefault="008D6229">
            <w:r>
              <w:rPr>
                <w:color w:val="000000"/>
                <w:sz w:val="18"/>
                <w:szCs w:val="18"/>
              </w:rPr>
              <w:t>≥ 95%</w:t>
            </w:r>
          </w:p>
        </w:tc>
        <w:tc>
          <w:tcPr>
            <w:tcW w:w="3672" w:type="dxa"/>
            <w:shd w:val="clear" w:color="auto" w:fill="FFFFFF"/>
            <w:tcMar>
              <w:top w:w="0" w:type="dxa"/>
              <w:left w:w="108" w:type="dxa"/>
              <w:bottom w:w="0" w:type="dxa"/>
              <w:right w:w="108" w:type="dxa"/>
            </w:tcMar>
            <w:hideMark/>
          </w:tcPr>
          <w:p w14:paraId="39A1AC94" w14:textId="77777777" w:rsidR="008D6229" w:rsidRDefault="008D6229">
            <w:r>
              <w:rPr>
                <w:color w:val="000000"/>
                <w:sz w:val="18"/>
                <w:szCs w:val="18"/>
              </w:rPr>
              <w:t>SQL + Hybrid + Multi-Agent cases where Agent 3 runs.</w:t>
            </w:r>
          </w:p>
        </w:tc>
        <w:tc>
          <w:tcPr>
            <w:tcW w:w="3312" w:type="dxa"/>
            <w:shd w:val="clear" w:color="auto" w:fill="FFFFFF"/>
            <w:tcMar>
              <w:top w:w="0" w:type="dxa"/>
              <w:left w:w="108" w:type="dxa"/>
              <w:bottom w:w="0" w:type="dxa"/>
              <w:right w:w="108" w:type="dxa"/>
            </w:tcMar>
            <w:hideMark/>
          </w:tcPr>
          <w:p w14:paraId="0A668EB3" w14:textId="77777777" w:rsidR="008D6229" w:rsidRDefault="008D6229">
            <w:r>
              <w:rPr>
                <w:color w:val="000000"/>
                <w:sz w:val="18"/>
                <w:szCs w:val="18"/>
              </w:rPr>
              <w:t>32 cases total.</w:t>
            </w:r>
          </w:p>
        </w:tc>
      </w:tr>
      <w:tr w:rsidR="008D6229" w14:paraId="5C8B868E" w14:textId="77777777">
        <w:tc>
          <w:tcPr>
            <w:tcW w:w="1440" w:type="dxa"/>
            <w:shd w:val="clear" w:color="auto" w:fill="EBF3FB"/>
            <w:tcMar>
              <w:top w:w="0" w:type="dxa"/>
              <w:left w:w="108" w:type="dxa"/>
              <w:bottom w:w="0" w:type="dxa"/>
              <w:right w:w="108" w:type="dxa"/>
            </w:tcMar>
            <w:hideMark/>
          </w:tcPr>
          <w:p w14:paraId="27D58865" w14:textId="77777777" w:rsidR="008D6229" w:rsidRDefault="008D6229">
            <w:r>
              <w:rPr>
                <w:b/>
                <w:bCs/>
                <w:color w:val="000000"/>
                <w:sz w:val="18"/>
                <w:szCs w:val="18"/>
              </w:rPr>
              <w:t>SLO #4</w:t>
            </w:r>
            <w:r>
              <w:rPr>
                <w:color w:val="000000"/>
                <w:sz w:val="18"/>
                <w:szCs w:val="18"/>
              </w:rPr>
              <w:br/>
              <w:t>Answer Relevance</w:t>
            </w:r>
          </w:p>
        </w:tc>
        <w:tc>
          <w:tcPr>
            <w:tcW w:w="1296" w:type="dxa"/>
            <w:shd w:val="clear" w:color="auto" w:fill="EBF3FB"/>
            <w:tcMar>
              <w:top w:w="0" w:type="dxa"/>
              <w:left w:w="108" w:type="dxa"/>
              <w:bottom w:w="0" w:type="dxa"/>
              <w:right w:w="108" w:type="dxa"/>
            </w:tcMar>
            <w:hideMark/>
          </w:tcPr>
          <w:p w14:paraId="45DE43A3" w14:textId="77777777" w:rsidR="008D6229" w:rsidRDefault="008D6229">
            <w:r>
              <w:rPr>
                <w:color w:val="000000"/>
                <w:sz w:val="18"/>
                <w:szCs w:val="18"/>
              </w:rPr>
              <w:t>Quality</w:t>
            </w:r>
          </w:p>
        </w:tc>
        <w:tc>
          <w:tcPr>
            <w:tcW w:w="1296" w:type="dxa"/>
            <w:shd w:val="clear" w:color="auto" w:fill="EBF3FB"/>
            <w:tcMar>
              <w:top w:w="0" w:type="dxa"/>
              <w:left w:w="108" w:type="dxa"/>
              <w:bottom w:w="0" w:type="dxa"/>
              <w:right w:w="108" w:type="dxa"/>
            </w:tcMar>
            <w:hideMark/>
          </w:tcPr>
          <w:p w14:paraId="7AD59FD9" w14:textId="77777777" w:rsidR="008D6229" w:rsidRDefault="008D6229">
            <w:r>
              <w:rPr>
                <w:color w:val="000000"/>
                <w:sz w:val="18"/>
                <w:szCs w:val="18"/>
              </w:rPr>
              <w:t>≥ 0.85</w:t>
            </w:r>
          </w:p>
        </w:tc>
        <w:tc>
          <w:tcPr>
            <w:tcW w:w="3672" w:type="dxa"/>
            <w:shd w:val="clear" w:color="auto" w:fill="EBF3FB"/>
            <w:tcMar>
              <w:top w:w="0" w:type="dxa"/>
              <w:left w:w="108" w:type="dxa"/>
              <w:bottom w:w="0" w:type="dxa"/>
              <w:right w:w="108" w:type="dxa"/>
            </w:tcMar>
            <w:hideMark/>
          </w:tcPr>
          <w:p w14:paraId="70624DA7" w14:textId="77777777" w:rsidR="008D6229" w:rsidRDefault="008D6229">
            <w:r>
              <w:rPr>
                <w:color w:val="000000"/>
                <w:sz w:val="18"/>
                <w:szCs w:val="18"/>
              </w:rPr>
              <w:t>All 48 non-blocked cases.</w:t>
            </w:r>
          </w:p>
        </w:tc>
        <w:tc>
          <w:tcPr>
            <w:tcW w:w="3312" w:type="dxa"/>
            <w:shd w:val="clear" w:color="auto" w:fill="EBF3FB"/>
            <w:tcMar>
              <w:top w:w="0" w:type="dxa"/>
              <w:left w:w="108" w:type="dxa"/>
              <w:bottom w:w="0" w:type="dxa"/>
              <w:right w:w="108" w:type="dxa"/>
            </w:tcMar>
            <w:hideMark/>
          </w:tcPr>
          <w:p w14:paraId="0649E965" w14:textId="77777777" w:rsidR="008D6229" w:rsidRDefault="008D6229">
            <w:r>
              <w:rPr>
                <w:color w:val="000000"/>
                <w:sz w:val="18"/>
                <w:szCs w:val="18"/>
              </w:rPr>
              <w:t>Measures whether the response addresses the user's question.</w:t>
            </w:r>
          </w:p>
        </w:tc>
      </w:tr>
      <w:tr w:rsidR="008D6229" w14:paraId="627A6720" w14:textId="77777777">
        <w:tc>
          <w:tcPr>
            <w:tcW w:w="1440" w:type="dxa"/>
            <w:shd w:val="clear" w:color="auto" w:fill="FFFFFF"/>
            <w:tcMar>
              <w:top w:w="0" w:type="dxa"/>
              <w:left w:w="108" w:type="dxa"/>
              <w:bottom w:w="0" w:type="dxa"/>
              <w:right w:w="108" w:type="dxa"/>
            </w:tcMar>
            <w:hideMark/>
          </w:tcPr>
          <w:p w14:paraId="6FB5DEA2" w14:textId="77777777" w:rsidR="008D6229" w:rsidRDefault="008D6229">
            <w:r>
              <w:rPr>
                <w:b/>
                <w:bCs/>
                <w:color w:val="000000"/>
                <w:sz w:val="18"/>
                <w:szCs w:val="18"/>
              </w:rPr>
              <w:t>SLO #5</w:t>
            </w:r>
            <w:r>
              <w:rPr>
                <w:color w:val="000000"/>
                <w:sz w:val="18"/>
                <w:szCs w:val="18"/>
              </w:rPr>
              <w:br/>
              <w:t>P95 Latency — Standard Routes</w:t>
            </w:r>
          </w:p>
        </w:tc>
        <w:tc>
          <w:tcPr>
            <w:tcW w:w="1296" w:type="dxa"/>
            <w:shd w:val="clear" w:color="auto" w:fill="FFFFFF"/>
            <w:tcMar>
              <w:top w:w="0" w:type="dxa"/>
              <w:left w:w="108" w:type="dxa"/>
              <w:bottom w:w="0" w:type="dxa"/>
              <w:right w:w="108" w:type="dxa"/>
            </w:tcMar>
            <w:hideMark/>
          </w:tcPr>
          <w:p w14:paraId="2F2AE005" w14:textId="77777777" w:rsidR="008D6229" w:rsidRDefault="008D6229">
            <w:r>
              <w:rPr>
                <w:color w:val="000000"/>
                <w:sz w:val="18"/>
                <w:szCs w:val="18"/>
              </w:rPr>
              <w:t>Speed</w:t>
            </w:r>
          </w:p>
        </w:tc>
        <w:tc>
          <w:tcPr>
            <w:tcW w:w="1296" w:type="dxa"/>
            <w:shd w:val="clear" w:color="auto" w:fill="FFFFFF"/>
            <w:tcMar>
              <w:top w:w="0" w:type="dxa"/>
              <w:left w:w="108" w:type="dxa"/>
              <w:bottom w:w="0" w:type="dxa"/>
              <w:right w:w="108" w:type="dxa"/>
            </w:tcMar>
            <w:hideMark/>
          </w:tcPr>
          <w:p w14:paraId="1AE0DA57" w14:textId="77777777" w:rsidR="008D6229" w:rsidRDefault="008D6229">
            <w:r>
              <w:rPr>
                <w:color w:val="000000"/>
                <w:sz w:val="18"/>
                <w:szCs w:val="18"/>
              </w:rPr>
              <w:t>≤ 5s</w:t>
            </w:r>
          </w:p>
        </w:tc>
        <w:tc>
          <w:tcPr>
            <w:tcW w:w="3672" w:type="dxa"/>
            <w:shd w:val="clear" w:color="auto" w:fill="FFFFFF"/>
            <w:tcMar>
              <w:top w:w="0" w:type="dxa"/>
              <w:left w:w="108" w:type="dxa"/>
              <w:bottom w:w="0" w:type="dxa"/>
              <w:right w:w="108" w:type="dxa"/>
            </w:tcMar>
            <w:hideMark/>
          </w:tcPr>
          <w:p w14:paraId="3F24E9C3" w14:textId="77777777" w:rsidR="008D6229" w:rsidRDefault="008D6229">
            <w:r>
              <w:rPr>
                <w:color w:val="000000"/>
                <w:sz w:val="18"/>
                <w:szCs w:val="18"/>
              </w:rPr>
              <w:t>RAG, SQL, and Hybrid standard-route cases.</w:t>
            </w:r>
          </w:p>
        </w:tc>
        <w:tc>
          <w:tcPr>
            <w:tcW w:w="3312" w:type="dxa"/>
            <w:shd w:val="clear" w:color="auto" w:fill="FFFFFF"/>
            <w:tcMar>
              <w:top w:w="0" w:type="dxa"/>
              <w:left w:w="108" w:type="dxa"/>
              <w:bottom w:w="0" w:type="dxa"/>
              <w:right w:w="108" w:type="dxa"/>
            </w:tcMar>
            <w:hideMark/>
          </w:tcPr>
          <w:p w14:paraId="0628B37D" w14:textId="77777777" w:rsidR="008D6229" w:rsidRDefault="008D6229">
            <w:r>
              <w:rPr>
                <w:color w:val="000000"/>
                <w:sz w:val="18"/>
                <w:szCs w:val="18"/>
              </w:rPr>
              <w:t>Measured end-to-end per route type.</w:t>
            </w:r>
          </w:p>
        </w:tc>
      </w:tr>
      <w:tr w:rsidR="008D6229" w14:paraId="35881CFD" w14:textId="77777777">
        <w:tc>
          <w:tcPr>
            <w:tcW w:w="1440" w:type="dxa"/>
            <w:shd w:val="clear" w:color="auto" w:fill="EBF3FB"/>
            <w:tcMar>
              <w:top w:w="0" w:type="dxa"/>
              <w:left w:w="108" w:type="dxa"/>
              <w:bottom w:w="0" w:type="dxa"/>
              <w:right w:w="108" w:type="dxa"/>
            </w:tcMar>
            <w:hideMark/>
          </w:tcPr>
          <w:p w14:paraId="0CD3109E" w14:textId="77777777" w:rsidR="008D6229" w:rsidRDefault="008D6229">
            <w:r>
              <w:rPr>
                <w:b/>
                <w:bCs/>
                <w:color w:val="000000"/>
                <w:sz w:val="18"/>
                <w:szCs w:val="18"/>
              </w:rPr>
              <w:t>SLO #6</w:t>
            </w:r>
            <w:r>
              <w:rPr>
                <w:color w:val="000000"/>
                <w:sz w:val="18"/>
                <w:szCs w:val="18"/>
              </w:rPr>
              <w:br/>
              <w:t>P95 Latency — Multi-Agent Route</w:t>
            </w:r>
          </w:p>
        </w:tc>
        <w:tc>
          <w:tcPr>
            <w:tcW w:w="1296" w:type="dxa"/>
            <w:shd w:val="clear" w:color="auto" w:fill="EBF3FB"/>
            <w:tcMar>
              <w:top w:w="0" w:type="dxa"/>
              <w:left w:w="108" w:type="dxa"/>
              <w:bottom w:w="0" w:type="dxa"/>
              <w:right w:w="108" w:type="dxa"/>
            </w:tcMar>
            <w:hideMark/>
          </w:tcPr>
          <w:p w14:paraId="183136A5" w14:textId="77777777" w:rsidR="008D6229" w:rsidRDefault="008D6229">
            <w:r>
              <w:rPr>
                <w:color w:val="000000"/>
                <w:sz w:val="18"/>
                <w:szCs w:val="18"/>
              </w:rPr>
              <w:t>Speed</w:t>
            </w:r>
          </w:p>
        </w:tc>
        <w:tc>
          <w:tcPr>
            <w:tcW w:w="1296" w:type="dxa"/>
            <w:shd w:val="clear" w:color="auto" w:fill="EBF3FB"/>
            <w:tcMar>
              <w:top w:w="0" w:type="dxa"/>
              <w:left w:w="108" w:type="dxa"/>
              <w:bottom w:w="0" w:type="dxa"/>
              <w:right w:w="108" w:type="dxa"/>
            </w:tcMar>
            <w:hideMark/>
          </w:tcPr>
          <w:p w14:paraId="330A2917" w14:textId="77777777" w:rsidR="008D6229" w:rsidRDefault="008D6229">
            <w:r>
              <w:rPr>
                <w:color w:val="000000"/>
                <w:sz w:val="18"/>
                <w:szCs w:val="18"/>
              </w:rPr>
              <w:t>≤ 10s</w:t>
            </w:r>
          </w:p>
        </w:tc>
        <w:tc>
          <w:tcPr>
            <w:tcW w:w="3672" w:type="dxa"/>
            <w:shd w:val="clear" w:color="auto" w:fill="EBF3FB"/>
            <w:tcMar>
              <w:top w:w="0" w:type="dxa"/>
              <w:left w:w="108" w:type="dxa"/>
              <w:bottom w:w="0" w:type="dxa"/>
              <w:right w:w="108" w:type="dxa"/>
            </w:tcMar>
            <w:hideMark/>
          </w:tcPr>
          <w:p w14:paraId="27D72655" w14:textId="77777777" w:rsidR="008D6229" w:rsidRDefault="008D6229">
            <w:r>
              <w:rPr>
                <w:color w:val="000000"/>
                <w:sz w:val="18"/>
                <w:szCs w:val="18"/>
              </w:rPr>
              <w:t>TC-05, TC-07, TC-11, TC-12, TC-13, TC-14, TC-47, TC-50</w:t>
            </w:r>
          </w:p>
        </w:tc>
        <w:tc>
          <w:tcPr>
            <w:tcW w:w="3312" w:type="dxa"/>
            <w:shd w:val="clear" w:color="auto" w:fill="EBF3FB"/>
            <w:tcMar>
              <w:top w:w="0" w:type="dxa"/>
              <w:left w:w="108" w:type="dxa"/>
              <w:bottom w:w="0" w:type="dxa"/>
              <w:right w:w="108" w:type="dxa"/>
            </w:tcMar>
            <w:hideMark/>
          </w:tcPr>
          <w:p w14:paraId="03E64F98" w14:textId="77777777" w:rsidR="008D6229" w:rsidRDefault="008D6229">
            <w:r>
              <w:rPr>
                <w:color w:val="000000"/>
                <w:sz w:val="18"/>
                <w:szCs w:val="18"/>
              </w:rPr>
              <w:t>8 critical multi-agent cases.</w:t>
            </w:r>
          </w:p>
        </w:tc>
      </w:tr>
      <w:tr w:rsidR="008D6229" w14:paraId="69A6BC2F" w14:textId="77777777">
        <w:tc>
          <w:tcPr>
            <w:tcW w:w="1440" w:type="dxa"/>
            <w:shd w:val="clear" w:color="auto" w:fill="FFFFFF"/>
            <w:tcMar>
              <w:top w:w="0" w:type="dxa"/>
              <w:left w:w="108" w:type="dxa"/>
              <w:bottom w:w="0" w:type="dxa"/>
              <w:right w:w="108" w:type="dxa"/>
            </w:tcMar>
            <w:hideMark/>
          </w:tcPr>
          <w:p w14:paraId="41CCD42D" w14:textId="77777777" w:rsidR="008D6229" w:rsidRDefault="008D6229">
            <w:r>
              <w:rPr>
                <w:b/>
                <w:bCs/>
                <w:color w:val="000000"/>
                <w:sz w:val="18"/>
                <w:szCs w:val="18"/>
              </w:rPr>
              <w:t>SLO #7</w:t>
            </w:r>
            <w:r>
              <w:rPr>
                <w:color w:val="000000"/>
                <w:sz w:val="18"/>
                <w:szCs w:val="18"/>
              </w:rPr>
              <w:br/>
              <w:t>Retrieval Quality Recall@5</w:t>
            </w:r>
          </w:p>
        </w:tc>
        <w:tc>
          <w:tcPr>
            <w:tcW w:w="1296" w:type="dxa"/>
            <w:shd w:val="clear" w:color="auto" w:fill="FFFFFF"/>
            <w:tcMar>
              <w:top w:w="0" w:type="dxa"/>
              <w:left w:w="108" w:type="dxa"/>
              <w:bottom w:w="0" w:type="dxa"/>
              <w:right w:w="108" w:type="dxa"/>
            </w:tcMar>
            <w:hideMark/>
          </w:tcPr>
          <w:p w14:paraId="69F49A03" w14:textId="77777777" w:rsidR="008D6229" w:rsidRDefault="008D6229">
            <w:r>
              <w:rPr>
                <w:color w:val="000000"/>
                <w:sz w:val="18"/>
                <w:szCs w:val="18"/>
              </w:rPr>
              <w:t>Retrieval</w:t>
            </w:r>
          </w:p>
        </w:tc>
        <w:tc>
          <w:tcPr>
            <w:tcW w:w="1296" w:type="dxa"/>
            <w:shd w:val="clear" w:color="auto" w:fill="FFFFFF"/>
            <w:tcMar>
              <w:top w:w="0" w:type="dxa"/>
              <w:left w:w="108" w:type="dxa"/>
              <w:bottom w:w="0" w:type="dxa"/>
              <w:right w:w="108" w:type="dxa"/>
            </w:tcMar>
            <w:hideMark/>
          </w:tcPr>
          <w:p w14:paraId="67C552DC" w14:textId="77777777" w:rsidR="008D6229" w:rsidRDefault="008D6229">
            <w:r>
              <w:rPr>
                <w:color w:val="000000"/>
                <w:sz w:val="18"/>
                <w:szCs w:val="18"/>
              </w:rPr>
              <w:t>≥ 90%</w:t>
            </w:r>
          </w:p>
        </w:tc>
        <w:tc>
          <w:tcPr>
            <w:tcW w:w="3672" w:type="dxa"/>
            <w:shd w:val="clear" w:color="auto" w:fill="FFFFFF"/>
            <w:tcMar>
              <w:top w:w="0" w:type="dxa"/>
              <w:left w:w="108" w:type="dxa"/>
              <w:bottom w:w="0" w:type="dxa"/>
              <w:right w:w="108" w:type="dxa"/>
            </w:tcMar>
            <w:hideMark/>
          </w:tcPr>
          <w:p w14:paraId="18089FBC" w14:textId="77777777" w:rsidR="008D6229" w:rsidRDefault="008D6229">
            <w:r>
              <w:rPr>
                <w:color w:val="000000"/>
                <w:sz w:val="18"/>
                <w:szCs w:val="18"/>
              </w:rPr>
              <w:t>All cases where Agent 2 runs.</w:t>
            </w:r>
          </w:p>
        </w:tc>
        <w:tc>
          <w:tcPr>
            <w:tcW w:w="3312" w:type="dxa"/>
            <w:shd w:val="clear" w:color="auto" w:fill="FFFFFF"/>
            <w:tcMar>
              <w:top w:w="0" w:type="dxa"/>
              <w:left w:w="108" w:type="dxa"/>
              <w:bottom w:w="0" w:type="dxa"/>
              <w:right w:w="108" w:type="dxa"/>
            </w:tcMar>
            <w:hideMark/>
          </w:tcPr>
          <w:p w14:paraId="1DE4B2A9" w14:textId="77777777" w:rsidR="008D6229" w:rsidRDefault="008D6229">
            <w:r>
              <w:rPr>
                <w:color w:val="000000"/>
                <w:sz w:val="18"/>
                <w:szCs w:val="18"/>
              </w:rPr>
              <w:t>Same 35 RAG cases as attribution and context precision.</w:t>
            </w:r>
          </w:p>
        </w:tc>
      </w:tr>
      <w:tr w:rsidR="008D6229" w14:paraId="1DE7D559" w14:textId="77777777">
        <w:tc>
          <w:tcPr>
            <w:tcW w:w="1440" w:type="dxa"/>
            <w:shd w:val="clear" w:color="auto" w:fill="EBF3FB"/>
            <w:tcMar>
              <w:top w:w="0" w:type="dxa"/>
              <w:left w:w="108" w:type="dxa"/>
              <w:bottom w:w="0" w:type="dxa"/>
              <w:right w:w="108" w:type="dxa"/>
            </w:tcMar>
            <w:hideMark/>
          </w:tcPr>
          <w:p w14:paraId="3C8E3928" w14:textId="77777777" w:rsidR="008D6229" w:rsidRDefault="008D6229">
            <w:r>
              <w:rPr>
                <w:b/>
                <w:bCs/>
                <w:color w:val="000000"/>
                <w:sz w:val="18"/>
                <w:szCs w:val="18"/>
              </w:rPr>
              <w:t>SLO #8</w:t>
            </w:r>
            <w:r>
              <w:rPr>
                <w:color w:val="000000"/>
                <w:sz w:val="18"/>
                <w:szCs w:val="18"/>
              </w:rPr>
              <w:br/>
              <w:t>Source Attribution Rate</w:t>
            </w:r>
          </w:p>
        </w:tc>
        <w:tc>
          <w:tcPr>
            <w:tcW w:w="1296" w:type="dxa"/>
            <w:shd w:val="clear" w:color="auto" w:fill="EBF3FB"/>
            <w:tcMar>
              <w:top w:w="0" w:type="dxa"/>
              <w:left w:w="108" w:type="dxa"/>
              <w:bottom w:w="0" w:type="dxa"/>
              <w:right w:w="108" w:type="dxa"/>
            </w:tcMar>
            <w:hideMark/>
          </w:tcPr>
          <w:p w14:paraId="37338474" w14:textId="77777777" w:rsidR="008D6229" w:rsidRDefault="008D6229">
            <w:r>
              <w:rPr>
                <w:color w:val="000000"/>
                <w:sz w:val="18"/>
                <w:szCs w:val="18"/>
              </w:rPr>
              <w:t>Retrieval</w:t>
            </w:r>
          </w:p>
        </w:tc>
        <w:tc>
          <w:tcPr>
            <w:tcW w:w="1296" w:type="dxa"/>
            <w:shd w:val="clear" w:color="auto" w:fill="EBF3FB"/>
            <w:tcMar>
              <w:top w:w="0" w:type="dxa"/>
              <w:left w:w="108" w:type="dxa"/>
              <w:bottom w:w="0" w:type="dxa"/>
              <w:right w:w="108" w:type="dxa"/>
            </w:tcMar>
            <w:hideMark/>
          </w:tcPr>
          <w:p w14:paraId="4E6D3693" w14:textId="77777777" w:rsidR="008D6229" w:rsidRDefault="008D6229">
            <w:r>
              <w:rPr>
                <w:color w:val="000000"/>
                <w:sz w:val="18"/>
                <w:szCs w:val="18"/>
              </w:rPr>
              <w:t>100%</w:t>
            </w:r>
          </w:p>
        </w:tc>
        <w:tc>
          <w:tcPr>
            <w:tcW w:w="3672" w:type="dxa"/>
            <w:shd w:val="clear" w:color="auto" w:fill="EBF3FB"/>
            <w:tcMar>
              <w:top w:w="0" w:type="dxa"/>
              <w:left w:w="108" w:type="dxa"/>
              <w:bottom w:w="0" w:type="dxa"/>
              <w:right w:w="108" w:type="dxa"/>
            </w:tcMar>
            <w:hideMark/>
          </w:tcPr>
          <w:p w14:paraId="4ED37679" w14:textId="77777777" w:rsidR="008D6229" w:rsidRDefault="008D6229">
            <w:r>
              <w:rPr>
                <w:color w:val="000000"/>
                <w:sz w:val="18"/>
                <w:szCs w:val="18"/>
              </w:rPr>
              <w:t>All cases where Agent 2 runs.</w:t>
            </w:r>
          </w:p>
        </w:tc>
        <w:tc>
          <w:tcPr>
            <w:tcW w:w="3312" w:type="dxa"/>
            <w:shd w:val="clear" w:color="auto" w:fill="EBF3FB"/>
            <w:tcMar>
              <w:top w:w="0" w:type="dxa"/>
              <w:left w:w="108" w:type="dxa"/>
              <w:bottom w:w="0" w:type="dxa"/>
              <w:right w:w="108" w:type="dxa"/>
            </w:tcMar>
            <w:hideMark/>
          </w:tcPr>
          <w:p w14:paraId="2174EE54" w14:textId="77777777" w:rsidR="008D6229" w:rsidRDefault="008D6229">
            <w:r>
              <w:rPr>
                <w:color w:val="000000"/>
                <w:sz w:val="18"/>
                <w:szCs w:val="18"/>
              </w:rPr>
              <w:t>Every RAG response must include document source citation.</w:t>
            </w:r>
          </w:p>
        </w:tc>
      </w:tr>
      <w:tr w:rsidR="008D6229" w14:paraId="10831426" w14:textId="77777777">
        <w:tc>
          <w:tcPr>
            <w:tcW w:w="1440" w:type="dxa"/>
            <w:shd w:val="clear" w:color="auto" w:fill="FFFFFF"/>
            <w:tcMar>
              <w:top w:w="0" w:type="dxa"/>
              <w:left w:w="108" w:type="dxa"/>
              <w:bottom w:w="0" w:type="dxa"/>
              <w:right w:w="108" w:type="dxa"/>
            </w:tcMar>
            <w:hideMark/>
          </w:tcPr>
          <w:p w14:paraId="61F08016" w14:textId="77777777" w:rsidR="008D6229" w:rsidRDefault="008D6229">
            <w:r>
              <w:rPr>
                <w:b/>
                <w:bCs/>
                <w:color w:val="000000"/>
                <w:sz w:val="18"/>
                <w:szCs w:val="18"/>
              </w:rPr>
              <w:t>SLO #9</w:t>
            </w:r>
            <w:r>
              <w:rPr>
                <w:color w:val="000000"/>
                <w:sz w:val="18"/>
                <w:szCs w:val="18"/>
              </w:rPr>
              <w:br/>
              <w:t>Context Precision</w:t>
            </w:r>
          </w:p>
        </w:tc>
        <w:tc>
          <w:tcPr>
            <w:tcW w:w="1296" w:type="dxa"/>
            <w:shd w:val="clear" w:color="auto" w:fill="FFFFFF"/>
            <w:tcMar>
              <w:top w:w="0" w:type="dxa"/>
              <w:left w:w="108" w:type="dxa"/>
              <w:bottom w:w="0" w:type="dxa"/>
              <w:right w:w="108" w:type="dxa"/>
            </w:tcMar>
            <w:hideMark/>
          </w:tcPr>
          <w:p w14:paraId="626EB424" w14:textId="77777777" w:rsidR="008D6229" w:rsidRDefault="008D6229">
            <w:r>
              <w:rPr>
                <w:color w:val="000000"/>
                <w:sz w:val="18"/>
                <w:szCs w:val="18"/>
              </w:rPr>
              <w:t>Retrieval</w:t>
            </w:r>
          </w:p>
        </w:tc>
        <w:tc>
          <w:tcPr>
            <w:tcW w:w="1296" w:type="dxa"/>
            <w:shd w:val="clear" w:color="auto" w:fill="FFFFFF"/>
            <w:tcMar>
              <w:top w:w="0" w:type="dxa"/>
              <w:left w:w="108" w:type="dxa"/>
              <w:bottom w:w="0" w:type="dxa"/>
              <w:right w:w="108" w:type="dxa"/>
            </w:tcMar>
            <w:hideMark/>
          </w:tcPr>
          <w:p w14:paraId="4C01B559" w14:textId="77777777" w:rsidR="008D6229" w:rsidRDefault="008D6229">
            <w:r>
              <w:rPr>
                <w:color w:val="000000"/>
                <w:sz w:val="18"/>
                <w:szCs w:val="18"/>
              </w:rPr>
              <w:t>≥ 0.80</w:t>
            </w:r>
          </w:p>
        </w:tc>
        <w:tc>
          <w:tcPr>
            <w:tcW w:w="3672" w:type="dxa"/>
            <w:shd w:val="clear" w:color="auto" w:fill="FFFFFF"/>
            <w:tcMar>
              <w:top w:w="0" w:type="dxa"/>
              <w:left w:w="108" w:type="dxa"/>
              <w:bottom w:w="0" w:type="dxa"/>
              <w:right w:w="108" w:type="dxa"/>
            </w:tcMar>
            <w:hideMark/>
          </w:tcPr>
          <w:p w14:paraId="7897033A" w14:textId="77777777" w:rsidR="008D6229" w:rsidRDefault="008D6229">
            <w:r>
              <w:rPr>
                <w:color w:val="000000"/>
                <w:sz w:val="18"/>
                <w:szCs w:val="18"/>
              </w:rPr>
              <w:t>All cases where Agent 2 runs.</w:t>
            </w:r>
          </w:p>
        </w:tc>
        <w:tc>
          <w:tcPr>
            <w:tcW w:w="3312" w:type="dxa"/>
            <w:shd w:val="clear" w:color="auto" w:fill="FFFFFF"/>
            <w:tcMar>
              <w:top w:w="0" w:type="dxa"/>
              <w:left w:w="108" w:type="dxa"/>
              <w:bottom w:w="0" w:type="dxa"/>
              <w:right w:w="108" w:type="dxa"/>
            </w:tcMar>
            <w:hideMark/>
          </w:tcPr>
          <w:p w14:paraId="5463B77D" w14:textId="77777777" w:rsidR="008D6229" w:rsidRDefault="008D6229">
            <w:r>
              <w:rPr>
                <w:color w:val="000000"/>
                <w:sz w:val="18"/>
                <w:szCs w:val="18"/>
              </w:rPr>
              <w:t>Fraction of retrieved chunks relevant to the answer.</w:t>
            </w:r>
          </w:p>
        </w:tc>
      </w:tr>
      <w:tr w:rsidR="008D6229" w14:paraId="374AA687" w14:textId="77777777">
        <w:tc>
          <w:tcPr>
            <w:tcW w:w="1440" w:type="dxa"/>
            <w:shd w:val="clear" w:color="auto" w:fill="EBF3FB"/>
            <w:tcMar>
              <w:top w:w="0" w:type="dxa"/>
              <w:left w:w="108" w:type="dxa"/>
              <w:bottom w:w="0" w:type="dxa"/>
              <w:right w:w="108" w:type="dxa"/>
            </w:tcMar>
            <w:hideMark/>
          </w:tcPr>
          <w:p w14:paraId="0FA8B233" w14:textId="77777777" w:rsidR="008D6229" w:rsidRDefault="008D6229">
            <w:r>
              <w:rPr>
                <w:b/>
                <w:bCs/>
                <w:color w:val="000000"/>
                <w:sz w:val="18"/>
                <w:szCs w:val="18"/>
              </w:rPr>
              <w:t>SLO #10</w:t>
            </w:r>
            <w:r>
              <w:rPr>
                <w:color w:val="000000"/>
                <w:sz w:val="18"/>
                <w:szCs w:val="18"/>
              </w:rPr>
              <w:br/>
              <w:t>Critical Misclassification Rate</w:t>
            </w:r>
          </w:p>
        </w:tc>
        <w:tc>
          <w:tcPr>
            <w:tcW w:w="1296" w:type="dxa"/>
            <w:shd w:val="clear" w:color="auto" w:fill="EBF3FB"/>
            <w:tcMar>
              <w:top w:w="0" w:type="dxa"/>
              <w:left w:w="108" w:type="dxa"/>
              <w:bottom w:w="0" w:type="dxa"/>
              <w:right w:w="108" w:type="dxa"/>
            </w:tcMar>
            <w:hideMark/>
          </w:tcPr>
          <w:p w14:paraId="55C91170" w14:textId="77777777" w:rsidR="008D6229" w:rsidRDefault="008D6229">
            <w:r>
              <w:rPr>
                <w:color w:val="000000"/>
                <w:sz w:val="18"/>
                <w:szCs w:val="18"/>
              </w:rPr>
              <w:t>Safety &amp; Security</w:t>
            </w:r>
          </w:p>
        </w:tc>
        <w:tc>
          <w:tcPr>
            <w:tcW w:w="1296" w:type="dxa"/>
            <w:shd w:val="clear" w:color="auto" w:fill="EBF3FB"/>
            <w:tcMar>
              <w:top w:w="0" w:type="dxa"/>
              <w:left w:w="108" w:type="dxa"/>
              <w:bottom w:w="0" w:type="dxa"/>
              <w:right w:w="108" w:type="dxa"/>
            </w:tcMar>
            <w:hideMark/>
          </w:tcPr>
          <w:p w14:paraId="1DAED765" w14:textId="77777777" w:rsidR="008D6229" w:rsidRDefault="008D6229">
            <w:r>
              <w:rPr>
                <w:color w:val="000000"/>
                <w:sz w:val="18"/>
                <w:szCs w:val="18"/>
              </w:rPr>
              <w:t>&lt; 3%</w:t>
            </w:r>
          </w:p>
        </w:tc>
        <w:tc>
          <w:tcPr>
            <w:tcW w:w="3672" w:type="dxa"/>
            <w:shd w:val="clear" w:color="auto" w:fill="EBF3FB"/>
            <w:tcMar>
              <w:top w:w="0" w:type="dxa"/>
              <w:left w:w="108" w:type="dxa"/>
              <w:bottom w:w="0" w:type="dxa"/>
              <w:right w:w="108" w:type="dxa"/>
            </w:tcMar>
            <w:hideMark/>
          </w:tcPr>
          <w:p w14:paraId="578A1222" w14:textId="77777777" w:rsidR="008D6229" w:rsidRDefault="008D6229">
            <w:r>
              <w:rPr>
                <w:color w:val="000000"/>
                <w:sz w:val="18"/>
                <w:szCs w:val="18"/>
              </w:rPr>
              <w:t>High/Critical cases.</w:t>
            </w:r>
          </w:p>
        </w:tc>
        <w:tc>
          <w:tcPr>
            <w:tcW w:w="3312" w:type="dxa"/>
            <w:shd w:val="clear" w:color="auto" w:fill="EBF3FB"/>
            <w:tcMar>
              <w:top w:w="0" w:type="dxa"/>
              <w:left w:w="108" w:type="dxa"/>
              <w:bottom w:w="0" w:type="dxa"/>
              <w:right w:w="108" w:type="dxa"/>
            </w:tcMar>
            <w:hideMark/>
          </w:tcPr>
          <w:p w14:paraId="66E69763" w14:textId="77777777" w:rsidR="008D6229" w:rsidRDefault="008D6229">
            <w:r>
              <w:rPr>
                <w:color w:val="000000"/>
                <w:sz w:val="18"/>
                <w:szCs w:val="18"/>
              </w:rPr>
              <w:t>A miss on any critical case can breach the SLO.</w:t>
            </w:r>
          </w:p>
        </w:tc>
      </w:tr>
      <w:tr w:rsidR="008D6229" w14:paraId="4BE88F62" w14:textId="77777777">
        <w:tc>
          <w:tcPr>
            <w:tcW w:w="1440" w:type="dxa"/>
            <w:shd w:val="clear" w:color="auto" w:fill="FFFFFF"/>
            <w:tcMar>
              <w:top w:w="0" w:type="dxa"/>
              <w:left w:w="108" w:type="dxa"/>
              <w:bottom w:w="0" w:type="dxa"/>
              <w:right w:w="108" w:type="dxa"/>
            </w:tcMar>
            <w:hideMark/>
          </w:tcPr>
          <w:p w14:paraId="45E362A8" w14:textId="77777777" w:rsidR="008D6229" w:rsidRDefault="008D6229">
            <w:r>
              <w:rPr>
                <w:b/>
                <w:bCs/>
                <w:color w:val="000000"/>
                <w:sz w:val="18"/>
                <w:szCs w:val="18"/>
              </w:rPr>
              <w:t>SLO #11</w:t>
            </w:r>
            <w:r>
              <w:rPr>
                <w:color w:val="000000"/>
                <w:sz w:val="18"/>
                <w:szCs w:val="18"/>
              </w:rPr>
              <w:br/>
              <w:t>Escalation Recall</w:t>
            </w:r>
          </w:p>
        </w:tc>
        <w:tc>
          <w:tcPr>
            <w:tcW w:w="1296" w:type="dxa"/>
            <w:shd w:val="clear" w:color="auto" w:fill="FFFFFF"/>
            <w:tcMar>
              <w:top w:w="0" w:type="dxa"/>
              <w:left w:w="108" w:type="dxa"/>
              <w:bottom w:w="0" w:type="dxa"/>
              <w:right w:w="108" w:type="dxa"/>
            </w:tcMar>
            <w:hideMark/>
          </w:tcPr>
          <w:p w14:paraId="3F4CAA29" w14:textId="77777777" w:rsidR="008D6229" w:rsidRDefault="008D6229">
            <w:r>
              <w:rPr>
                <w:color w:val="000000"/>
                <w:sz w:val="18"/>
                <w:szCs w:val="18"/>
              </w:rPr>
              <w:t>Safety &amp; Security</w:t>
            </w:r>
          </w:p>
        </w:tc>
        <w:tc>
          <w:tcPr>
            <w:tcW w:w="1296" w:type="dxa"/>
            <w:shd w:val="clear" w:color="auto" w:fill="FFFFFF"/>
            <w:tcMar>
              <w:top w:w="0" w:type="dxa"/>
              <w:left w:w="108" w:type="dxa"/>
              <w:bottom w:w="0" w:type="dxa"/>
              <w:right w:w="108" w:type="dxa"/>
            </w:tcMar>
            <w:hideMark/>
          </w:tcPr>
          <w:p w14:paraId="7B28CCA5" w14:textId="77777777" w:rsidR="008D6229" w:rsidRDefault="008D6229">
            <w:r>
              <w:rPr>
                <w:color w:val="000000"/>
                <w:sz w:val="18"/>
                <w:szCs w:val="18"/>
              </w:rPr>
              <w:t>100%</w:t>
            </w:r>
          </w:p>
        </w:tc>
        <w:tc>
          <w:tcPr>
            <w:tcW w:w="3672" w:type="dxa"/>
            <w:shd w:val="clear" w:color="auto" w:fill="FFFFFF"/>
            <w:tcMar>
              <w:top w:w="0" w:type="dxa"/>
              <w:left w:w="108" w:type="dxa"/>
              <w:bottom w:w="0" w:type="dxa"/>
              <w:right w:w="108" w:type="dxa"/>
            </w:tcMar>
            <w:hideMark/>
          </w:tcPr>
          <w:p w14:paraId="673FC967" w14:textId="77777777" w:rsidR="008D6229" w:rsidRDefault="008D6229">
            <w:r>
              <w:rPr>
                <w:color w:val="000000"/>
                <w:sz w:val="18"/>
                <w:szCs w:val="18"/>
              </w:rPr>
              <w:t>TC-04, TC-05, TC-07, TC-10, TC-11, TC-12, TC-13, TC-14, TC-15, TC-47, TC-50</w:t>
            </w:r>
          </w:p>
        </w:tc>
        <w:tc>
          <w:tcPr>
            <w:tcW w:w="3312" w:type="dxa"/>
            <w:shd w:val="clear" w:color="auto" w:fill="FFFFFF"/>
            <w:tcMar>
              <w:top w:w="0" w:type="dxa"/>
              <w:left w:w="108" w:type="dxa"/>
              <w:bottom w:w="0" w:type="dxa"/>
              <w:right w:w="108" w:type="dxa"/>
            </w:tcMar>
            <w:hideMark/>
          </w:tcPr>
          <w:p w14:paraId="151E712D" w14:textId="77777777" w:rsidR="008D6229" w:rsidRDefault="008D6229">
            <w:r>
              <w:rPr>
                <w:color w:val="000000"/>
                <w:sz w:val="18"/>
                <w:szCs w:val="18"/>
              </w:rPr>
              <w:t>All expected-escalation cases must be escalated.</w:t>
            </w:r>
          </w:p>
        </w:tc>
      </w:tr>
      <w:tr w:rsidR="008D6229" w14:paraId="451BBCFC" w14:textId="77777777">
        <w:tc>
          <w:tcPr>
            <w:tcW w:w="1440" w:type="dxa"/>
            <w:shd w:val="clear" w:color="auto" w:fill="EBF3FB"/>
            <w:tcMar>
              <w:top w:w="0" w:type="dxa"/>
              <w:left w:w="108" w:type="dxa"/>
              <w:bottom w:w="0" w:type="dxa"/>
              <w:right w:w="108" w:type="dxa"/>
            </w:tcMar>
            <w:hideMark/>
          </w:tcPr>
          <w:p w14:paraId="33D179BF" w14:textId="77777777" w:rsidR="008D6229" w:rsidRDefault="008D6229">
            <w:r>
              <w:rPr>
                <w:b/>
                <w:bCs/>
                <w:color w:val="000000"/>
                <w:sz w:val="18"/>
                <w:szCs w:val="18"/>
              </w:rPr>
              <w:t>SLO #12</w:t>
            </w:r>
            <w:r>
              <w:rPr>
                <w:color w:val="000000"/>
                <w:sz w:val="18"/>
                <w:szCs w:val="18"/>
              </w:rPr>
              <w:br/>
              <w:t>Unauthorized Data Access (RBAC)</w:t>
            </w:r>
          </w:p>
        </w:tc>
        <w:tc>
          <w:tcPr>
            <w:tcW w:w="1296" w:type="dxa"/>
            <w:shd w:val="clear" w:color="auto" w:fill="EBF3FB"/>
            <w:tcMar>
              <w:top w:w="0" w:type="dxa"/>
              <w:left w:w="108" w:type="dxa"/>
              <w:bottom w:w="0" w:type="dxa"/>
              <w:right w:w="108" w:type="dxa"/>
            </w:tcMar>
            <w:hideMark/>
          </w:tcPr>
          <w:p w14:paraId="06385162" w14:textId="77777777" w:rsidR="008D6229" w:rsidRDefault="008D6229">
            <w:r>
              <w:rPr>
                <w:color w:val="000000"/>
                <w:sz w:val="18"/>
                <w:szCs w:val="18"/>
              </w:rPr>
              <w:t>Safety &amp; Security</w:t>
            </w:r>
          </w:p>
        </w:tc>
        <w:tc>
          <w:tcPr>
            <w:tcW w:w="1296" w:type="dxa"/>
            <w:shd w:val="clear" w:color="auto" w:fill="EBF3FB"/>
            <w:tcMar>
              <w:top w:w="0" w:type="dxa"/>
              <w:left w:w="108" w:type="dxa"/>
              <w:bottom w:w="0" w:type="dxa"/>
              <w:right w:w="108" w:type="dxa"/>
            </w:tcMar>
            <w:hideMark/>
          </w:tcPr>
          <w:p w14:paraId="3996CA89" w14:textId="77777777" w:rsidR="008D6229" w:rsidRDefault="008D6229">
            <w:r>
              <w:rPr>
                <w:color w:val="000000"/>
                <w:sz w:val="18"/>
                <w:szCs w:val="18"/>
              </w:rPr>
              <w:t>0 violations</w:t>
            </w:r>
          </w:p>
        </w:tc>
        <w:tc>
          <w:tcPr>
            <w:tcW w:w="3672" w:type="dxa"/>
            <w:shd w:val="clear" w:color="auto" w:fill="EBF3FB"/>
            <w:tcMar>
              <w:top w:w="0" w:type="dxa"/>
              <w:left w:w="108" w:type="dxa"/>
              <w:bottom w:w="0" w:type="dxa"/>
              <w:right w:w="108" w:type="dxa"/>
            </w:tcMar>
            <w:hideMark/>
          </w:tcPr>
          <w:p w14:paraId="68E4AA81" w14:textId="77777777" w:rsidR="008D6229" w:rsidRDefault="008D6229">
            <w:r>
              <w:rPr>
                <w:color w:val="000000"/>
                <w:sz w:val="18"/>
                <w:szCs w:val="18"/>
              </w:rPr>
              <w:t>TC-37; TC-09, TC-48, TC-49.</w:t>
            </w:r>
          </w:p>
        </w:tc>
        <w:tc>
          <w:tcPr>
            <w:tcW w:w="3312" w:type="dxa"/>
            <w:shd w:val="clear" w:color="auto" w:fill="EBF3FB"/>
            <w:tcMar>
              <w:top w:w="0" w:type="dxa"/>
              <w:left w:w="108" w:type="dxa"/>
              <w:bottom w:w="0" w:type="dxa"/>
              <w:right w:w="108" w:type="dxa"/>
            </w:tcMar>
            <w:hideMark/>
          </w:tcPr>
          <w:p w14:paraId="276E14AB" w14:textId="77777777" w:rsidR="008D6229" w:rsidRDefault="008D6229">
            <w:r>
              <w:rPr>
                <w:color w:val="000000"/>
                <w:sz w:val="18"/>
                <w:szCs w:val="18"/>
              </w:rPr>
              <w:t>RBAC and unauthorized override attempts.</w:t>
            </w:r>
          </w:p>
        </w:tc>
      </w:tr>
      <w:tr w:rsidR="008D6229" w14:paraId="72132B8E" w14:textId="77777777">
        <w:tc>
          <w:tcPr>
            <w:tcW w:w="1440" w:type="dxa"/>
            <w:shd w:val="clear" w:color="auto" w:fill="FFFFFF"/>
            <w:tcMar>
              <w:top w:w="0" w:type="dxa"/>
              <w:left w:w="108" w:type="dxa"/>
              <w:bottom w:w="0" w:type="dxa"/>
              <w:right w:w="108" w:type="dxa"/>
            </w:tcMar>
            <w:hideMark/>
          </w:tcPr>
          <w:p w14:paraId="542DF9B8" w14:textId="77777777" w:rsidR="008D6229" w:rsidRDefault="008D6229">
            <w:r>
              <w:rPr>
                <w:b/>
                <w:bCs/>
                <w:color w:val="000000"/>
                <w:sz w:val="18"/>
                <w:szCs w:val="18"/>
              </w:rPr>
              <w:t>SLO #13</w:t>
            </w:r>
            <w:r>
              <w:rPr>
                <w:color w:val="000000"/>
                <w:sz w:val="18"/>
                <w:szCs w:val="18"/>
              </w:rPr>
              <w:br/>
              <w:t>Guardrail Effectiveness</w:t>
            </w:r>
          </w:p>
        </w:tc>
        <w:tc>
          <w:tcPr>
            <w:tcW w:w="1296" w:type="dxa"/>
            <w:shd w:val="clear" w:color="auto" w:fill="FFFFFF"/>
            <w:tcMar>
              <w:top w:w="0" w:type="dxa"/>
              <w:left w:w="108" w:type="dxa"/>
              <w:bottom w:w="0" w:type="dxa"/>
              <w:right w:w="108" w:type="dxa"/>
            </w:tcMar>
            <w:hideMark/>
          </w:tcPr>
          <w:p w14:paraId="02D1F073" w14:textId="77777777" w:rsidR="008D6229" w:rsidRDefault="008D6229">
            <w:r>
              <w:rPr>
                <w:color w:val="000000"/>
                <w:sz w:val="18"/>
                <w:szCs w:val="18"/>
              </w:rPr>
              <w:t>Safety &amp; Security</w:t>
            </w:r>
          </w:p>
        </w:tc>
        <w:tc>
          <w:tcPr>
            <w:tcW w:w="1296" w:type="dxa"/>
            <w:shd w:val="clear" w:color="auto" w:fill="FFFFFF"/>
            <w:tcMar>
              <w:top w:w="0" w:type="dxa"/>
              <w:left w:w="108" w:type="dxa"/>
              <w:bottom w:w="0" w:type="dxa"/>
              <w:right w:w="108" w:type="dxa"/>
            </w:tcMar>
            <w:hideMark/>
          </w:tcPr>
          <w:p w14:paraId="4B020EC5" w14:textId="77777777" w:rsidR="008D6229" w:rsidRDefault="008D6229">
            <w:r>
              <w:rPr>
                <w:color w:val="000000"/>
                <w:sz w:val="18"/>
                <w:szCs w:val="18"/>
              </w:rPr>
              <w:t>100% blocked</w:t>
            </w:r>
          </w:p>
        </w:tc>
        <w:tc>
          <w:tcPr>
            <w:tcW w:w="3672" w:type="dxa"/>
            <w:shd w:val="clear" w:color="auto" w:fill="FFFFFF"/>
            <w:tcMar>
              <w:top w:w="0" w:type="dxa"/>
              <w:left w:w="108" w:type="dxa"/>
              <w:bottom w:w="0" w:type="dxa"/>
              <w:right w:w="108" w:type="dxa"/>
            </w:tcMar>
            <w:hideMark/>
          </w:tcPr>
          <w:p w14:paraId="28FD6EBE" w14:textId="77777777" w:rsidR="008D6229" w:rsidRDefault="008D6229">
            <w:r>
              <w:rPr>
                <w:color w:val="000000"/>
                <w:sz w:val="18"/>
                <w:szCs w:val="18"/>
              </w:rPr>
              <w:t>TC-09, TC-48, TC-49</w:t>
            </w:r>
          </w:p>
        </w:tc>
        <w:tc>
          <w:tcPr>
            <w:tcW w:w="3312" w:type="dxa"/>
            <w:shd w:val="clear" w:color="auto" w:fill="FFFFFF"/>
            <w:tcMar>
              <w:top w:w="0" w:type="dxa"/>
              <w:left w:w="108" w:type="dxa"/>
              <w:bottom w:w="0" w:type="dxa"/>
              <w:right w:w="108" w:type="dxa"/>
            </w:tcMar>
            <w:hideMark/>
          </w:tcPr>
          <w:p w14:paraId="1D8E2AF8" w14:textId="77777777" w:rsidR="008D6229" w:rsidRDefault="008D6229">
            <w:r>
              <w:rPr>
                <w:color w:val="000000"/>
                <w:sz w:val="18"/>
                <w:szCs w:val="18"/>
              </w:rPr>
              <w:t>Adversarial cases must be blocked before Agent 1.</w:t>
            </w:r>
          </w:p>
        </w:tc>
      </w:tr>
      <w:tr w:rsidR="008D6229" w14:paraId="126E64D4" w14:textId="77777777">
        <w:tc>
          <w:tcPr>
            <w:tcW w:w="1440" w:type="dxa"/>
            <w:shd w:val="clear" w:color="auto" w:fill="EBF3FB"/>
            <w:tcMar>
              <w:top w:w="0" w:type="dxa"/>
              <w:left w:w="108" w:type="dxa"/>
              <w:bottom w:w="0" w:type="dxa"/>
              <w:right w:w="108" w:type="dxa"/>
            </w:tcMar>
            <w:hideMark/>
          </w:tcPr>
          <w:p w14:paraId="647AE104" w14:textId="77777777" w:rsidR="008D6229" w:rsidRDefault="008D6229">
            <w:r>
              <w:rPr>
                <w:b/>
                <w:bCs/>
                <w:color w:val="000000"/>
                <w:sz w:val="18"/>
                <w:szCs w:val="18"/>
              </w:rPr>
              <w:t>SLO #14</w:t>
            </w:r>
            <w:r>
              <w:rPr>
                <w:color w:val="000000"/>
                <w:sz w:val="18"/>
                <w:szCs w:val="18"/>
              </w:rPr>
              <w:br/>
              <w:t>Cost Per Ticket</w:t>
            </w:r>
          </w:p>
        </w:tc>
        <w:tc>
          <w:tcPr>
            <w:tcW w:w="1296" w:type="dxa"/>
            <w:shd w:val="clear" w:color="auto" w:fill="EBF3FB"/>
            <w:tcMar>
              <w:top w:w="0" w:type="dxa"/>
              <w:left w:w="108" w:type="dxa"/>
              <w:bottom w:w="0" w:type="dxa"/>
              <w:right w:w="108" w:type="dxa"/>
            </w:tcMar>
            <w:hideMark/>
          </w:tcPr>
          <w:p w14:paraId="59174F29" w14:textId="77777777" w:rsidR="008D6229" w:rsidRDefault="008D6229">
            <w:r>
              <w:rPr>
                <w:color w:val="000000"/>
                <w:sz w:val="18"/>
                <w:szCs w:val="18"/>
              </w:rPr>
              <w:t>Cost &amp; Reliability</w:t>
            </w:r>
          </w:p>
        </w:tc>
        <w:tc>
          <w:tcPr>
            <w:tcW w:w="1296" w:type="dxa"/>
            <w:shd w:val="clear" w:color="auto" w:fill="EBF3FB"/>
            <w:tcMar>
              <w:top w:w="0" w:type="dxa"/>
              <w:left w:w="108" w:type="dxa"/>
              <w:bottom w:w="0" w:type="dxa"/>
              <w:right w:w="108" w:type="dxa"/>
            </w:tcMar>
            <w:hideMark/>
          </w:tcPr>
          <w:p w14:paraId="6E44C9A2" w14:textId="77777777" w:rsidR="008D6229" w:rsidRDefault="008D6229">
            <w:r>
              <w:rPr>
                <w:color w:val="000000"/>
                <w:sz w:val="18"/>
                <w:szCs w:val="18"/>
              </w:rPr>
              <w:t>≤ $0.05 avg / $0.15 cap</w:t>
            </w:r>
          </w:p>
        </w:tc>
        <w:tc>
          <w:tcPr>
            <w:tcW w:w="3672" w:type="dxa"/>
            <w:shd w:val="clear" w:color="auto" w:fill="EBF3FB"/>
            <w:tcMar>
              <w:top w:w="0" w:type="dxa"/>
              <w:left w:w="108" w:type="dxa"/>
              <w:bottom w:w="0" w:type="dxa"/>
              <w:right w:w="108" w:type="dxa"/>
            </w:tcMar>
            <w:hideMark/>
          </w:tcPr>
          <w:p w14:paraId="5FF841B6" w14:textId="77777777" w:rsidR="008D6229" w:rsidRDefault="008D6229">
            <w:r>
              <w:rPr>
                <w:color w:val="000000"/>
                <w:sz w:val="18"/>
                <w:szCs w:val="18"/>
              </w:rPr>
              <w:t>All 51 cases</w:t>
            </w:r>
          </w:p>
        </w:tc>
        <w:tc>
          <w:tcPr>
            <w:tcW w:w="3312" w:type="dxa"/>
            <w:shd w:val="clear" w:color="auto" w:fill="EBF3FB"/>
            <w:tcMar>
              <w:top w:w="0" w:type="dxa"/>
              <w:left w:w="108" w:type="dxa"/>
              <w:bottom w:w="0" w:type="dxa"/>
              <w:right w:w="108" w:type="dxa"/>
            </w:tcMar>
            <w:hideMark/>
          </w:tcPr>
          <w:p w14:paraId="51FDD8AE" w14:textId="77777777" w:rsidR="008D6229" w:rsidRDefault="008D6229">
            <w:r>
              <w:rPr>
                <w:color w:val="000000"/>
                <w:sz w:val="18"/>
                <w:szCs w:val="18"/>
              </w:rPr>
              <w:t>Aggregate metric via Langfuse token traces.</w:t>
            </w:r>
          </w:p>
        </w:tc>
      </w:tr>
    </w:tbl>
    <w:p w14:paraId="57D237B8" w14:textId="0CD59BE2" w:rsidR="00C12BB7" w:rsidRDefault="00C12BB7"/>
    <w:sectPr w:rsidR="00C12BB7">
      <w:pgSz w:w="12240" w:h="15840"/>
      <w:pgMar w:top="800" w:right="900" w:bottom="8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EF7672"/>
    <w:multiLevelType w:val="hybridMultilevel"/>
    <w:tmpl w:val="8A382A78"/>
    <w:lvl w:ilvl="0" w:tplc="8BDAA39A">
      <w:start w:val="1"/>
      <w:numFmt w:val="bullet"/>
      <w:lvlText w:val="●"/>
      <w:lvlJc w:val="left"/>
      <w:pPr>
        <w:ind w:left="720" w:hanging="360"/>
      </w:pPr>
    </w:lvl>
    <w:lvl w:ilvl="1" w:tplc="C9A2E42A">
      <w:start w:val="1"/>
      <w:numFmt w:val="bullet"/>
      <w:lvlText w:val="○"/>
      <w:lvlJc w:val="left"/>
      <w:pPr>
        <w:ind w:left="1440" w:hanging="360"/>
      </w:pPr>
    </w:lvl>
    <w:lvl w:ilvl="2" w:tplc="CCBA79D2">
      <w:start w:val="1"/>
      <w:numFmt w:val="bullet"/>
      <w:lvlText w:val="■"/>
      <w:lvlJc w:val="left"/>
      <w:pPr>
        <w:ind w:left="2160" w:hanging="360"/>
      </w:pPr>
    </w:lvl>
    <w:lvl w:ilvl="3" w:tplc="D3F26A30">
      <w:start w:val="1"/>
      <w:numFmt w:val="bullet"/>
      <w:lvlText w:val="●"/>
      <w:lvlJc w:val="left"/>
      <w:pPr>
        <w:ind w:left="2880" w:hanging="360"/>
      </w:pPr>
    </w:lvl>
    <w:lvl w:ilvl="4" w:tplc="12442C38">
      <w:start w:val="1"/>
      <w:numFmt w:val="bullet"/>
      <w:lvlText w:val="○"/>
      <w:lvlJc w:val="left"/>
      <w:pPr>
        <w:ind w:left="3600" w:hanging="360"/>
      </w:pPr>
    </w:lvl>
    <w:lvl w:ilvl="5" w:tplc="E60CE6F8">
      <w:start w:val="1"/>
      <w:numFmt w:val="bullet"/>
      <w:lvlText w:val="■"/>
      <w:lvlJc w:val="left"/>
      <w:pPr>
        <w:ind w:left="4320" w:hanging="360"/>
      </w:pPr>
    </w:lvl>
    <w:lvl w:ilvl="6" w:tplc="6AE4383A">
      <w:start w:val="1"/>
      <w:numFmt w:val="bullet"/>
      <w:lvlText w:val="●"/>
      <w:lvlJc w:val="left"/>
      <w:pPr>
        <w:ind w:left="5040" w:hanging="360"/>
      </w:pPr>
    </w:lvl>
    <w:lvl w:ilvl="7" w:tplc="7F14A5B8">
      <w:start w:val="1"/>
      <w:numFmt w:val="bullet"/>
      <w:lvlText w:val="●"/>
      <w:lvlJc w:val="left"/>
      <w:pPr>
        <w:ind w:left="5760" w:hanging="360"/>
      </w:pPr>
    </w:lvl>
    <w:lvl w:ilvl="8" w:tplc="0ECC0E1E">
      <w:start w:val="1"/>
      <w:numFmt w:val="bullet"/>
      <w:lvlText w:val="●"/>
      <w:lvlJc w:val="left"/>
      <w:pPr>
        <w:ind w:left="6480" w:hanging="360"/>
      </w:pPr>
    </w:lvl>
  </w:abstractNum>
  <w:num w:numId="1" w16cid:durableId="14089635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97F"/>
    <w:rsid w:val="003E2C78"/>
    <w:rsid w:val="00486419"/>
    <w:rsid w:val="007422E0"/>
    <w:rsid w:val="008D6229"/>
    <w:rsid w:val="008E1C16"/>
    <w:rsid w:val="00997975"/>
    <w:rsid w:val="00C12BB7"/>
    <w:rsid w:val="00D9097F"/>
    <w:rsid w:val="00DF47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7392"/>
  <w15:docId w15:val="{3AC231D5-E11F-452C-A785-E96B59E6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7"/>
        <w:szCs w:val="17"/>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3E2C78"/>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3E2C7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E2C7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BookTitle">
    <w:name w:val="Book Title"/>
    <w:basedOn w:val="DefaultParagraphFont"/>
    <w:uiPriority w:val="33"/>
    <w:qFormat/>
    <w:rsid w:val="003E2C78"/>
    <w:rPr>
      <w:b/>
      <w:bCs/>
      <w:i/>
      <w:iCs/>
      <w:spacing w:val="5"/>
    </w:rPr>
  </w:style>
  <w:style w:type="paragraph" w:styleId="Caption">
    <w:name w:val="caption"/>
    <w:basedOn w:val="Normal"/>
    <w:next w:val="Normal"/>
    <w:uiPriority w:val="35"/>
    <w:semiHidden/>
    <w:unhideWhenUsed/>
    <w:qFormat/>
    <w:rsid w:val="003E2C78"/>
    <w:pPr>
      <w:spacing w:after="200"/>
    </w:pPr>
    <w:rPr>
      <w:i/>
      <w:iCs/>
      <w:color w:val="0E2841" w:themeColor="text2"/>
      <w:sz w:val="18"/>
      <w:szCs w:val="18"/>
    </w:rPr>
  </w:style>
  <w:style w:type="character" w:styleId="Emphasis">
    <w:name w:val="Emphasis"/>
    <w:basedOn w:val="DefaultParagraphFont"/>
    <w:uiPriority w:val="20"/>
    <w:qFormat/>
    <w:rsid w:val="003E2C78"/>
    <w:rPr>
      <w:i/>
      <w:iCs/>
    </w:rPr>
  </w:style>
  <w:style w:type="character" w:customStyle="1" w:styleId="Heading7Char">
    <w:name w:val="Heading 7 Char"/>
    <w:basedOn w:val="DefaultParagraphFont"/>
    <w:link w:val="Heading7"/>
    <w:uiPriority w:val="9"/>
    <w:semiHidden/>
    <w:rsid w:val="003E2C78"/>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3E2C7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E2C78"/>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3E2C78"/>
    <w:rPr>
      <w:i/>
      <w:iCs/>
      <w:color w:val="156082" w:themeColor="accent1"/>
    </w:rPr>
  </w:style>
  <w:style w:type="paragraph" w:styleId="IntenseQuote">
    <w:name w:val="Intense Quote"/>
    <w:basedOn w:val="Normal"/>
    <w:next w:val="Normal"/>
    <w:link w:val="IntenseQuoteChar"/>
    <w:uiPriority w:val="30"/>
    <w:qFormat/>
    <w:rsid w:val="003E2C78"/>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3E2C78"/>
    <w:rPr>
      <w:i/>
      <w:iCs/>
      <w:color w:val="156082" w:themeColor="accent1"/>
    </w:rPr>
  </w:style>
  <w:style w:type="character" w:styleId="IntenseReference">
    <w:name w:val="Intense Reference"/>
    <w:basedOn w:val="DefaultParagraphFont"/>
    <w:uiPriority w:val="32"/>
    <w:qFormat/>
    <w:rsid w:val="003E2C78"/>
    <w:rPr>
      <w:b/>
      <w:bCs/>
      <w:smallCaps/>
      <w:color w:val="156082" w:themeColor="accent1"/>
      <w:spacing w:val="5"/>
    </w:rPr>
  </w:style>
  <w:style w:type="paragraph" w:styleId="NoSpacing">
    <w:name w:val="No Spacing"/>
    <w:uiPriority w:val="1"/>
    <w:qFormat/>
    <w:rsid w:val="003E2C78"/>
  </w:style>
  <w:style w:type="paragraph" w:styleId="Quote">
    <w:name w:val="Quote"/>
    <w:basedOn w:val="Normal"/>
    <w:next w:val="Normal"/>
    <w:link w:val="QuoteChar"/>
    <w:uiPriority w:val="29"/>
    <w:qFormat/>
    <w:rsid w:val="003E2C7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E2C78"/>
    <w:rPr>
      <w:i/>
      <w:iCs/>
      <w:color w:val="404040" w:themeColor="text1" w:themeTint="BF"/>
    </w:rPr>
  </w:style>
  <w:style w:type="character" w:styleId="Strong">
    <w:name w:val="Strong"/>
    <w:basedOn w:val="DefaultParagraphFont"/>
    <w:uiPriority w:val="22"/>
    <w:qFormat/>
    <w:rsid w:val="003E2C78"/>
    <w:rPr>
      <w:b/>
      <w:bCs/>
    </w:rPr>
  </w:style>
  <w:style w:type="paragraph" w:styleId="Subtitle">
    <w:name w:val="Subtitle"/>
    <w:basedOn w:val="Normal"/>
    <w:next w:val="Normal"/>
    <w:link w:val="SubtitleChar"/>
    <w:uiPriority w:val="11"/>
    <w:qFormat/>
    <w:rsid w:val="003E2C78"/>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E2C78"/>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3E2C78"/>
    <w:rPr>
      <w:i/>
      <w:iCs/>
      <w:color w:val="404040" w:themeColor="text1" w:themeTint="BF"/>
    </w:rPr>
  </w:style>
  <w:style w:type="character" w:styleId="SubtleReference">
    <w:name w:val="Subtle Reference"/>
    <w:basedOn w:val="DefaultParagraphFont"/>
    <w:uiPriority w:val="31"/>
    <w:qFormat/>
    <w:rsid w:val="003E2C78"/>
    <w:rPr>
      <w:smallCaps/>
      <w:color w:val="5A5A5A" w:themeColor="text1" w:themeTint="A5"/>
    </w:rPr>
  </w:style>
  <w:style w:type="paragraph" w:styleId="TOCHeading">
    <w:name w:val="TOC Heading"/>
    <w:basedOn w:val="Heading1"/>
    <w:next w:val="Normal"/>
    <w:uiPriority w:val="39"/>
    <w:semiHidden/>
    <w:unhideWhenUsed/>
    <w:qFormat/>
    <w:rsid w:val="003E2C78"/>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7311</TotalTime>
  <Pages>6</Pages>
  <Words>2608</Words>
  <Characters>14712</Characters>
  <Application>Microsoft Office Word</Application>
  <DocSecurity>0</DocSecurity>
  <Lines>507</Lines>
  <Paragraphs>360</Paragraphs>
  <ScaleCrop>false</ScaleCrop>
  <Company/>
  <LinksUpToDate>false</LinksUpToDate>
  <CharactersWithSpaces>16960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komal bansal</cp:lastModifiedBy>
  <cp:revision>5</cp:revision>
  <dcterms:created xsi:type="dcterms:W3CDTF">2026-06-13T11:05:00Z</dcterms:created>
  <dcterms:modified xsi:type="dcterms:W3CDTF">2026-06-26T15:26:00Z</dcterms:modified>
</cp:coreProperties>
</file>