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LANE 2  —  PARSER / EXTRACTION / EVIDENCE AUTOMATION</w:t>
      </w:r>
    </w:p>
    <w:p>
      <w:pPr>
        <w:pBdr>
          <w:bottom w:val="single" w:color="2E75B6" w:sz="10" w:space="2"/>
        </w:pBdr>
        <w:spacing w:after="300" w:before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Block 2 Progress Note  |  MBS and STAAD Adapters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IFS-L2-BLK2-PARSERS-20260427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 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2 of 8 — MBS and STAAD Adapters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IFS-BUILD-OUT3-PARSER-20260424 · MasterDB v3+ (Frozen)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Adapters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STAADParser (P1) · MBSParser (P2)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— Both adapters fully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3 — Evidence Automation Foundation (READY)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MBS Adapter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Status: FULLY IMPLEMENTED — MP-01 through MP-07 complete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60"/>
        <w:gridCol w:w="1500"/>
      </w:tblGrid>
      <w:tr>
        <w:tc>
          <w:tcPr>
            <w:tcW w:type="dxa" w:w="1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  <w:tc>
          <w:tcPr>
            <w:tcW w:type="dxa" w:w="1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MBSParser class — XML primary, text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xml.etree for XML; re for text. _load_xml() and _load_text() both complete. Suffix-matching XML key search handles tag-path variation.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Bay config → F-039, F-040, F-041, F-042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BaySpacingX/Z keys in XML; RE_BAY_SPACING regex in text fallback. Grid labels extracted from GridLabelX/Z XML attributes.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Building envelope → F-045/046/047/054/056/059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XML: BuildingLength, BuildingWidth, EaveHeight, RidgeHeight, RoofPitch keys. Text: dedicated regex patterns per field.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schedules → F-063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BUILDUP_INDICATORS regex detects built-up sections before standard catalogue check. Known prefixes: UB, UC, RHS, SHS, CHS, IPE, HEA, HEB, WB, WC. IS808_LOOKUP_REQUIRED flag set if not recognised.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 schedule → F-075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 absent → _connection_absent() fires: F-075 UNRESOLVED, FB-RULE-016 flag, warning logged. No P7/P8 default inserted. Fallback chain note: ETABS P3 or Manual+DE.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Sheeting schedule → F-091 to F-100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fields extracted by indexed XML keys (Zone1–Zone10) and RE_SHEETING_ZONE regex. Zone is mandatory — absent zones individually UNRESOLVED with zone-numbered flag.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Built-up section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BUILDUP_INDICATORS pattern: PL, PLATE, WELD, BUILTUP, BFG + digits. On match: F-063 UNRESOLVED, FB-RULE-021 + BUILDUP_PLATE_REQUIRED flags. Plate schedule required from DE. Test: T-PARSE-04.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Source Priority Tagging — MBS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SOURCE_TYPE = SourceType.MBS. PRIORITY_RANK = 2. All FieldExtraction objects carry these values. Conflict resolver will correctly identify MBS as P2 authority and yield to STAAD (P1) where F-field already populated by P1 source.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Confidence Assignment — MBS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360"/>
        <w:gridCol w:w="1500"/>
      </w:tblGrid>
      <w:tr>
        <w:tc>
          <w:tcPr>
            <w:tcW w:type="dxa" w:w="3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Score</w:t>
            </w:r>
          </w:p>
        </w:tc>
        <w:tc>
          <w:tcPr>
            <w:tcW w:type="dxa" w:w="1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 structured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structured_keyword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regex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text_regex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UNRESOLVED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0 — no default inserted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Built-up section (MP-07)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0 — UNRESOLVED + FB-RULE-021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STAAD Adapter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Status: FULLY IMPLEMENTED — SP-01 through SP-09 complete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160"/>
        <w:gridCol w:w="1500"/>
      </w:tblGrid>
      <w:tr>
        <w:tc>
          <w:tcPr>
            <w:tcW w:type="dxa" w:w="1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  <w:tc>
          <w:tcPr>
            <w:tcW w:type="dxa" w:w="1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STAADParser — keyword block splitter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_split_into_blocks() scans for JOINT COORDINATES, MEMBER INCIDENCES, MEMBER PROPERTY, SUPPORTS, BOLT TABLE keywords. RE_END_BLOCK terminates active block on PERFORM/LOAD/FINISH etc. Comment lines ($) stripped.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JOINT COORDINATES → F-039, F-040, F-172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Parses X/Y/Z per joint. Grid spacing = minimum positive delta between unique X/Z coordinates. Bay count = unique X positions − 1. UNIT line detected for mm/M/CM normalisation.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 INCIDENCES → topology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Builds self._topology dict: member_id → (joint_start, joint_end). Used by downstream section assignment and conflict detection.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 PROPERTY → F-063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TA ST and TABLE ST patterns. Counter selects governing section from multi-member files. IS808_LOOKUP_REQUIRED flag if section not in known prefix list (UB/UC/RHS/SHS/CHS/IPE/HEA/HEB).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→ F-045, F-046, F-047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support joint IDs from SUPPORT block. Derives length (max X − min X), width (max Z − min Z), height (max Y − min Y of all joints). Units normalised.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BOLT TABLE → F-081 to F-089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Patterns for GRADE, DIAMETER, TENSILE STRENGTH, SHEAR CAPACITY, BEARING CAPACITY, MIN EDGE DIST, MIN PITCH, MAX PITCH, NOS BOLTS. Each absent field → UNRESOLVED + FB-RULE-013/014. Confidence = 0. Zero defaults inserted.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SP-07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CRITICAL: No end-condition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_parse_end_conditions() method exists anywhere in the codebase. F-075 populated only from explicit CONNECTION TYPE in BOLT TABLE. Absent → UNRESOLVED + FB-RULE-015. Test: T-PARSE-03.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STAADNormaliser — unit/alias resolution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normalise_section_name() → uppercase. normalise_unit() handles 1234mm, 1.234M, KG500 → numeric string (T-PARSE-11). normalise_bolt_grade() maps 8.8S → 8.8/S, 8.8TF → 8.8/TF etc.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score assignment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structured_keyword: 95. table_lookup: 90. UNRESOLVED bolt fields: 0 (hard-coded; cannot be overridden). Hard caps enforced at FieldExtraction.__post_init__ level.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Source Priority Tagging — STAAD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SOURCE_TYPE = SourceType.STAAD. PRIORITY_RANK = 1. STAAD is the highest-authority source. All FieldExtraction objects produced by STAADParser carry priority_rank = 1, which is the winning rank in any conflict against P2–P8 sources. Conflict resolver will retain STAAD values over MBS, ETABS, Prota, PDF, and OCR sources for the same field_id.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Confidence Assignment — STAAD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360"/>
        <w:gridCol w:w="1500"/>
      </w:tblGrid>
      <w:tr>
        <w:tc>
          <w:tcPr>
            <w:tcW w:type="dxa" w:w="3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 block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structured_keyword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Bolt table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table_lookup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UNRESOLVED bolt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0 — no default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(IS808 lookup needed)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structured_keyword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95 + IS808_LOOKUP_REQUIRED 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SQLite Write Path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Status: GUARDED — Implementation pending blocker clearance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write_to_db() is defined in BaseParser with a NotImplementedError guard. Both STAADParser and MBSParser inherit this method. The guard message references B-PARSER-01 and B-PARSER-02 explicitly so any premature call surface the correct blocker IDs.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560"/>
        <w:gridCol w:w="1000"/>
        <w:gridCol w:w="1000"/>
      </w:tblGrid>
      <w:tr>
        <w:tc>
          <w:tcPr>
            <w:tcW w:type="dxa" w:w="6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10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produces ParserOutput with FieldExtraction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(in-memory)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conflict_resolver.resolve() called if field_id exists in field_value_store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field_value_store (read)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Winning value written with value_status, priority_rank, 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field_value_store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extraction (including losers) written — immutable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field_extraction_log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 flags, UNRESOLVED status, escalation triggers written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event written per field — all 10 mandatory attributes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audit_event_log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project_file_registry updated with parser result + priority 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project_file_registry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Fallback Governing Field Protection — CONFIRMED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Confirmed: Fallback does NOT populate governing fields incorrectly. The following mechanisms are in place: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FieldExtraction.priority_rank carries the source authority rank (1=STAAD, 2=MBS). conflict_resolver (not the parser) decides winner.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P8 (PDF Image) Historical prohibition is enforced at FieldExtraction.__post_init__ — governing fields auto-set UNRESOLVED with HISTORICAL_PROHIBITED flag regardless of confidence value passed by adapter.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 hard caps (PDF_TEXT ≤ 85, PDF_IMAGE ≤ 75) enforced at same level — adapters cannot inflate 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write_to_db() guard prevents any field being written until B-PARSER-01 and B-PARSER-02 are cleared — eliminates race condition between parser completion and DB table existence.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Risks / Parser Gaps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1700"/>
        <w:gridCol w:w="1500"/>
      </w:tblGrid>
      <w:tr>
        <w:tc>
          <w:tcPr>
            <w:tcW w:type="dxa" w:w="16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5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RISK-B2-01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STAAD files using non-standard bolt table layouts (e.g. inline bolt specs, grouped entries) may not be captured by current regex patterns.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FB-RULE-013/014 flags will surface gap; test T-PARSE-02 validates absent case.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RISK-B2-02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MBS text fallback confidence (75) is below XML path (90). Mixed-format projects may produce inconsistent confidence profiles across runs.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Adapter logs whether XML or text path was taken. QA to confirm source type in review.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RISK-B2-03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STAADNormaliser handles M/CM/mm unit variants but STAAD files using FT/INCH (US units) are not yet covered.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FT/INCH → mm conversion to normalise_unit() before Block 5. Flag: UNIT_CONVERSION_INCOMPLETE.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IV-2.0.0 Integration Layer not frozen — write_to_db() signature not final. Parsers produce correct ParserOutput but cannot be end-to-end tested.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 in write_to_db() prevents silent failure. Target: 2026-04-29 Chief Architect.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B-PARSER-02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DB-INIT-001 must PASS before write path can be exercised. field_value_store and field_extraction_log tables must exist.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 in write_to_db() + EvidenceExporter._check_db_exists() both catch this.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BLOCKED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Next Block Readiness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Block 3 — Evidence Automation Foundation is READY TO START.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56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4472C4" w:sz="4"/>
              <w:left w:val="single" w:color="CCCCCC" w:sz="1"/>
              <w:bottom w:val="single" w:color="4472C4" w:sz="4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Block 3 (Next)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 Automation Foundation — DB snapshot export, parser log, extraction log, field_value_store, validation_result exports. Evidence folder and file naming conventions. Benchmark folder structure BM-001 to BM-005.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Lane Packaging Note — consolidates Blocks 1–3 outputs into lane file for end-of-day review.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Lane Status: </w:t>
      </w:r>
      <w:r>
        <w:rPr>
          <w:rFonts w:ascii="Arial" w:cs="Arial" w:eastAsia="Arial" w:hAnsi="Arial"/>
          <w:b/>
          <w:bCs/>
          <w:color w:val="7F6000"/>
          <w:sz w:val="28"/>
          <w:szCs w:val="28"/>
        </w:rPr>
        <w:t xml:space="preserve">AMBER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  — Both adapters fully implemented. SQLite write path guarded pending B-PARSER-01 and B-PARSER-02 clearance. All parser outputs correct and ready for conflict resolver handoff.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6F1" w:sz="2" w:space="2"/>
      </w:pBdr>
      <w:jc w:val="right"/>
    </w:pPr>
    <w:r>
      <w:rPr>
        <w:rFonts w:ascii="Arial" w:cs="Arial" w:eastAsia="Arial" w:hAnsi="Arial"/>
        <w:color w:val="1F3864"/>
        <w:sz w:val="16"/>
        <w:szCs w:val="16"/>
      </w:rPr>
      <w:t xml:space="preserve">IFS-L2-BLK2-PARSERS-20260427  |  STAAD P1 · MBS P2  |  Block 2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IFS STEEL DETAILING SYSTEM  |  Lane 2 — Block 2: MBS and STAAD Adapters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2026-04-27T06:52:56.206Z</dcterms:created>
  <dcterms:modified xsi:type="dcterms:W3CDTF">2026-04-27T06:52:56.208Z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