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4"/>
              <w:bottom w:val="single" w:color="1F3864" w:sz="4"/>
              <w:right w:val="single" w:color="1F3864" w:sz="4"/>
            </w:tcBorders>
            <w:shd w:fill="1F3864" w:val="clear"/>
            <w:tcMar>
              <w:top w:type="dxa" w:w="240"/>
              <w:left w:type="dxa" w:w="320"/>
              <w:bottom w:type="dxa" w:w="100"/>
              <w:right w:type="dxa" w:w="320"/>
            </w:tcMar>
          </w:tcPr>
          <w:p>
            <w:pPr>
              <w:jc w:val="center"/>
            </w:pPr>
            <w:r>
              <w:rPr>
                <w:rFonts w:ascii="Arial" w:cs="Arial" w:eastAsia="Arial" w:hAnsi="Arial"/>
                <w:b/>
                <w:bCs/>
                <w:color w:val="FFFFFF"/>
                <w:sz w:val="28"/>
                <w:szCs w:val="28"/>
              </w:rPr>
              <w:t xml:space="preserve">INFINITI SOLUTIONS — STEEL DETAILING AUTOMATION</w:t>
            </w:r>
          </w:p>
          <w:p>
            <w:pPr>
              <w:jc w:val="center"/>
            </w:pPr>
            <w:r>
              <w:rPr>
                <w:rFonts w:ascii="Arial" w:cs="Arial" w:eastAsia="Arial" w:hAnsi="Arial"/>
                <w:b/>
                <w:bCs/>
                <w:color w:val="FFD700"/>
                <w:sz w:val="40"/>
                <w:szCs w:val="40"/>
              </w:rPr>
              <w:t xml:space="preserve">TECHNOLOGY DECISION NOTE</w:t>
            </w:r>
          </w:p>
          <w:p>
            <w:pPr>
              <w:jc w:val="center"/>
            </w:pPr>
            <w:r>
              <w:rPr>
                <w:rFonts w:ascii="Arial" w:cs="Arial" w:eastAsia="Arial" w:hAnsi="Arial"/>
                <w:color w:val="BDD7EE"/>
                <w:sz w:val="22"/>
                <w:szCs w:val="22"/>
              </w:rPr>
              <w:t xml:space="preserve">Database Engine Selection — Phase 5 Implementation</w:t>
            </w:r>
          </w:p>
        </w:tc>
      </w:tr>
      <w:tr>
        <w:tc>
          <w:tcPr>
            <w:tcBorders>
              <w:top w:val="single" w:color="2E75B6" w:sz="4"/>
              <w:left w:val="single" w:color="2E75B6" w:sz="4"/>
              <w:bottom w:val="single" w:color="2E75B6" w:sz="4"/>
              <w:right w:val="single" w:color="2E75B6" w:sz="4"/>
            </w:tcBorders>
            <w:shd w:fill="2E75B6" w:val="clear"/>
            <w:tcMar>
              <w:top w:type="dxa" w:w="80"/>
              <w:left w:type="dxa" w:w="320"/>
              <w:bottom w:type="dxa" w:w="80"/>
              <w:right w:type="dxa" w:w="320"/>
            </w:tcMar>
          </w:tcPr>
          <w:p>
            <w:pPr>
              <w:jc w:val="center"/>
            </w:pPr>
            <w:r>
              <w:rPr>
                <w:rFonts w:ascii="Arial" w:cs="Arial" w:eastAsia="Arial" w:hAnsi="Arial"/>
                <w:color w:val="FFFFFF"/>
                <w:sz w:val="18"/>
                <w:szCs w:val="18"/>
              </w:rPr>
              <w:t xml:space="preserve">TDN-DB-001  |  Issued: 23 April 2026  |  Status: APPROVED — BINDING  |  Baseline: IFS-MASTERDB-V3-FINAL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DECISION SUMMARY</w:t>
            </w:r>
          </w:p>
        </w:tc>
      </w:tr>
      <w:tr>
        <w:tc>
          <w:tcPr>
            <w:tcW w:type="dxa" w:w="28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Document Reference</w:t>
            </w:r>
          </w:p>
        </w:tc>
        <w:tc>
          <w:tcPr>
            <w:tcW w:type="dxa" w:w="65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TDN-DB-001</w:t>
            </w:r>
          </w:p>
        </w:tc>
      </w:tr>
      <w:tr>
        <w:tc>
          <w:tcPr>
            <w:tcW w:type="dxa" w:w="28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Decision</w:t>
            </w:r>
          </w:p>
        </w:tc>
        <w:tc>
          <w:tcPr>
            <w:tcW w:type="dxa" w:w="65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SQLite selected as the approved Phase 5 implementation database</w:t>
            </w:r>
          </w:p>
        </w:tc>
      </w:tr>
      <w:tr>
        <w:tc>
          <w:tcPr>
            <w:tcW w:type="dxa" w:w="28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Baseline</w:t>
            </w:r>
          </w:p>
        </w:tc>
        <w:tc>
          <w:tcPr>
            <w:tcW w:type="dxa" w:w="65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IFS-MASTERDB-V3-FINAL-20260423  |  MasterDB v3+</w:t>
            </w:r>
          </w:p>
        </w:tc>
      </w:tr>
      <w:tr>
        <w:tc>
          <w:tcPr>
            <w:tcW w:type="dxa" w:w="28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Scope</w:t>
            </w:r>
          </w:p>
        </w:tc>
        <w:tc>
          <w:tcPr>
            <w:tcW w:type="dxa" w:w="65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Phase 5 local desktop implementation — all 57 physical tables</w:t>
            </w:r>
          </w:p>
        </w:tc>
      </w:tr>
      <w:tr>
        <w:tc>
          <w:tcPr>
            <w:tcW w:type="dxa" w:w="28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Previous Specification</w:t>
            </w:r>
          </w:p>
        </w:tc>
        <w:tc>
          <w:tcPr>
            <w:tcW w:type="dxa" w:w="65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PostgreSQL (all prior architecture documents and prompts)</w:t>
            </w:r>
          </w:p>
        </w:tc>
      </w:tr>
      <w:tr>
        <w:tc>
          <w:tcPr>
            <w:tcW w:type="dxa" w:w="28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Change Type</w:t>
            </w:r>
          </w:p>
        </w:tc>
        <w:tc>
          <w:tcPr>
            <w:tcW w:type="dxa" w:w="65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Technology deferral — desktop phase only</w:t>
            </w:r>
          </w:p>
        </w:tc>
      </w:tr>
      <w:tr>
        <w:tc>
          <w:tcPr>
            <w:tcW w:type="dxa" w:w="28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Effect on Engineering Rules</w:t>
            </w:r>
          </w:p>
        </w:tc>
        <w:tc>
          <w:tcPr>
            <w:tcW w:type="dxa" w:w="65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NONE — all 293 rules, 196 fields, 10 stage gates, 28 override-prohibited fields unchanged</w:t>
            </w:r>
          </w:p>
        </w:tc>
      </w:tr>
      <w:tr>
        <w:tc>
          <w:tcPr>
            <w:tcW w:type="dxa" w:w="28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Migration Trigger</w:t>
            </w:r>
          </w:p>
        </w:tc>
        <w:tc>
          <w:tcPr>
            <w:tcW w:type="dxa" w:w="65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Defined — see Section 7</w:t>
            </w:r>
          </w:p>
        </w:tc>
      </w:tr>
      <w:tr>
        <w:tc>
          <w:tcPr>
            <w:tcW w:type="dxa" w:w="28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Issued By</w:t>
            </w:r>
          </w:p>
        </w:tc>
        <w:tc>
          <w:tcPr>
            <w:tcW w:type="dxa" w:w="65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Phase 5 Database Technology Alignment Agent</w:t>
            </w:r>
          </w:p>
        </w:tc>
      </w:tr>
      <w:tr>
        <w:tc>
          <w:tcPr>
            <w:tcW w:type="dxa" w:w="28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Date</w:t>
            </w:r>
          </w:p>
        </w:tc>
        <w:tc>
          <w:tcPr>
            <w:tcW w:type="dxa" w:w="65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23 April 2026</w:t>
            </w:r>
          </w:p>
        </w:tc>
      </w:tr>
      <w:tr>
        <w:tc>
          <w:tcPr>
            <w:tcW w:type="dxa" w:w="28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Supersedes</w:t>
            </w:r>
          </w:p>
        </w:tc>
        <w:tc>
          <w:tcPr>
            <w:tcW w:type="dxa" w:w="65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All PostgreSQL references in README.md, PROMPT 1–4 outputs, MasterDB v3+ schema notes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8F00" w:sz="4"/>
              <w:left w:val="single" w:color="BF8F00" w:sz="4"/>
              <w:bottom w:val="single" w:color="BF8F00" w:sz="4"/>
              <w:right w:val="single" w:color="BF8F00" w:sz="4"/>
            </w:tcBorders>
            <w:shd w:fill="FFF2CC" w:val="clear"/>
            <w:tcMar>
              <w:top w:type="dxa" w:w="80"/>
              <w:left w:type="dxa" w:w="120"/>
              <w:bottom w:type="dxa" w:w="80"/>
              <w:right w:type="dxa" w:w="120"/>
            </w:tcMar>
          </w:tcPr>
          <w:p>
            <w:pPr>
              <w:jc w:val="center"/>
            </w:pPr>
            <w:r>
              <w:rPr>
                <w:rFonts w:ascii="Arial" w:cs="Arial" w:eastAsia="Arial" w:hAnsi="Arial"/>
                <w:b/>
                <w:bCs/>
                <w:color w:val="BF8F00"/>
                <w:sz w:val="20"/>
                <w:szCs w:val="20"/>
              </w:rPr>
              <w:t xml:space="preserve">⚠ BINDING</w:t>
            </w:r>
          </w:p>
        </w:tc>
        <w:tc>
          <w:tcPr>
            <w:tcW w:type="dxa" w:w="8160"/>
            <w:tcBorders>
              <w:top w:val="single" w:color="BF8F00" w:sz="4"/>
              <w:left w:val="single" w:color="BF8F00" w:sz="4"/>
              <w:bottom w:val="single" w:color="BF8F00" w:sz="4"/>
              <w:right w:val="single" w:color="BF8F00" w:sz="4"/>
            </w:tcBorders>
            <w:shd w:fill="FFF2CC" w:val="clear"/>
            <w:tcMar>
              <w:top w:type="dxa" w:w="80"/>
              <w:left w:type="dxa" w:w="120"/>
              <w:bottom w:type="dxa" w:w="80"/>
              <w:right w:type="dxa" w:w="120"/>
            </w:tcMar>
          </w:tcPr>
          <w:p>
            <w:r>
              <w:rPr>
                <w:rFonts w:ascii="Arial" w:cs="Arial" w:eastAsia="Arial" w:hAnsi="Arial"/>
                <w:color w:val="000000"/>
                <w:sz w:val="20"/>
                <w:szCs w:val="20"/>
              </w:rPr>
              <w:t xml:space="preserve">This Technology Decision Note is binding on all implementation teams immediately upon issue. All coding, schema creation, and tool installation must align to SQLite for Phase 5. Any reference to PostgreSQL in active development documents must be updated per Section 6 of this note.</w:t>
            </w:r>
          </w:p>
        </w:tc>
      </w:tr>
    </w:tbl>
    <w:p>
      <w:pPr>
        <w:spacing w:after="80" w:before="80"/>
      </w:pPr>
    </w:p>
    <w:p>
      <w:pPr>
        <w:pStyle w:val="Heading1"/>
        <w:pBdr>
          <w:bottom w:val="single" w:color="2E75B6" w:sz="8" w:space="4"/>
        </w:pBdr>
        <w:spacing w:after="120" w:before="280"/>
      </w:pPr>
      <w:r>
        <w:rPr>
          <w:rFonts w:ascii="Arial" w:cs="Arial" w:eastAsia="Arial" w:hAnsi="Arial"/>
          <w:b/>
          <w:bCs/>
          <w:color w:val="1F3864"/>
          <w:sz w:val="32"/>
          <w:szCs w:val="32"/>
        </w:rPr>
        <w:t xml:space="preserve">1. Technology Decision Summary</w:t>
      </w:r>
    </w:p>
    <w:p>
      <w:pPr>
        <w:spacing w:after="60" w:before="60"/>
        <w:jc w:val="left"/>
      </w:pPr>
      <w:r>
        <w:rPr>
          <w:rFonts w:ascii="Arial" w:cs="Arial" w:eastAsia="Arial" w:hAnsi="Arial"/>
          <w:b w:val="false"/>
          <w:bCs w:val="false"/>
          <w:i w:val="false"/>
          <w:iCs w:val="false"/>
          <w:color w:val="000000"/>
          <w:sz w:val="20"/>
          <w:szCs w:val="20"/>
        </w:rPr>
        <w:t xml:space="preserve">Infiniti Solutions Steel Detailing Automation — Phase 5 implementation is proceeding on a local desktop model. Following review of deployment requirements, operational overhead, and the single-user desktop-first constraint, SQLite has been selected as the Phase 5 database engine.</w:t>
      </w:r>
    </w:p>
    <w:p>
      <w:pPr>
        <w:spacing w:after="80" w:before="80"/>
      </w:pPr>
    </w:p>
    <w:p>
      <w:pPr>
        <w:spacing w:after="60" w:before="60"/>
        <w:jc w:val="left"/>
      </w:pPr>
      <w:r>
        <w:rPr>
          <w:rFonts w:ascii="Arial" w:cs="Arial" w:eastAsia="Arial" w:hAnsi="Arial"/>
          <w:b w:val="false"/>
          <w:bCs w:val="false"/>
          <w:i w:val="false"/>
          <w:iCs w:val="false"/>
          <w:color w:val="000000"/>
          <w:sz w:val="20"/>
          <w:szCs w:val="20"/>
        </w:rPr>
        <w:t xml:space="preserve">This decision replaces all prior references to PostgreSQL in the implementation baseline. The engineering schema, rule set, field dictionary, and validation logic are unchanged. Only the database engine changes. All 57 physical tables, 196 fields, 293 rules, 10 stage gates, and 28 override-prohibited fields remain intact.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SCOPE</w:t>
            </w:r>
          </w:p>
        </w:tc>
        <w:tc>
          <w:tcPr>
            <w:tcW w:type="dxa" w:w="816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r>
              <w:rPr>
                <w:rFonts w:ascii="Arial" w:cs="Arial" w:eastAsia="Arial" w:hAnsi="Arial"/>
                <w:color w:val="000000"/>
                <w:sz w:val="20"/>
                <w:szCs w:val="20"/>
              </w:rPr>
              <w:t xml:space="preserve">This decision applies to Phase 5 desktop implementation only. PostgreSQL remains the target for any future multi-user, server, or cloud deployment. Migration triggers are formally defined in Section 7.</w:t>
            </w:r>
          </w:p>
        </w:tc>
      </w:tr>
    </w:tbl>
    <w:p>
      <w:pPr>
        <w:spacing w:after="80" w:before="80"/>
      </w:pPr>
    </w:p>
    <w:p>
      <w:pPr>
        <w:pStyle w:val="Heading1"/>
        <w:pBdr>
          <w:bottom w:val="single" w:color="2E75B6" w:sz="8" w:space="4"/>
        </w:pBdr>
        <w:spacing w:after="120" w:before="280"/>
      </w:pPr>
      <w:r>
        <w:rPr>
          <w:rFonts w:ascii="Arial" w:cs="Arial" w:eastAsia="Arial" w:hAnsi="Arial"/>
          <w:b/>
          <w:bCs/>
          <w:color w:val="1F3864"/>
          <w:sz w:val="32"/>
          <w:szCs w:val="32"/>
        </w:rPr>
        <w:t xml:space="preserve">2. Approved Database for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2E75B6" w:sz="4"/>
              <w:left w:val="single" w:color="2E75B6" w:sz="4"/>
              <w:bottom w:val="single" w:color="2E75B6" w:sz="4"/>
              <w:right w:val="single" w:color="2E75B6" w:sz="4"/>
            </w:tcBorders>
            <w:shd w:fill="2E75B6"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Parameter</w:t>
            </w:r>
          </w:p>
        </w:tc>
        <w:tc>
          <w:tcPr>
            <w:tcW w:type="dxa" w:w="6360"/>
            <w:gridSpan w:val="1"/>
            <w:tcBorders>
              <w:top w:val="single" w:color="2E75B6" w:sz="4"/>
              <w:left w:val="single" w:color="2E75B6" w:sz="4"/>
              <w:bottom w:val="single" w:color="2E75B6" w:sz="4"/>
              <w:right w:val="single" w:color="2E75B6" w:sz="4"/>
            </w:tcBorders>
            <w:shd w:fill="2E75B6"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Decision</w:t>
            </w:r>
          </w:p>
        </w:tc>
      </w:tr>
      <w:tr>
        <w:tc>
          <w:tcPr>
            <w:tcW w:type="dxa" w:w="30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Approved Database Engine</w:t>
            </w:r>
          </w:p>
        </w:tc>
        <w:tc>
          <w:tcPr>
            <w:tcW w:type="dxa" w:w="63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SQLite (version 3.x — latest stable)</w:t>
            </w:r>
          </w:p>
        </w:tc>
      </w:tr>
      <w:tr>
        <w:tc>
          <w:tcPr>
            <w:tcW w:type="dxa" w:w="30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Deployment Mode</w:t>
            </w:r>
          </w:p>
        </w:tc>
        <w:tc>
          <w:tcPr>
            <w:tcW w:type="dxa" w:w="63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File-based, local desktop, no server process</w:t>
            </w:r>
          </w:p>
        </w:tc>
      </w:tr>
      <w:tr>
        <w:tc>
          <w:tcPr>
            <w:tcW w:type="dxa" w:w="30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File Location</w:t>
            </w:r>
          </w:p>
        </w:tc>
        <w:tc>
          <w:tcPr>
            <w:tcW w:type="dxa" w:w="63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Per project: /Project_UUID/steel_agent.db (or shared master DB)</w:t>
            </w:r>
          </w:p>
        </w:tc>
      </w:tr>
      <w:tr>
        <w:tc>
          <w:tcPr>
            <w:tcW w:type="dxa" w:w="30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Connection Mode</w:t>
            </w:r>
          </w:p>
        </w:tc>
        <w:tc>
          <w:tcPr>
            <w:tcW w:type="dxa" w:w="63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Direct file access via Python sqlite3 or SQLAlchemy SQLite driver</w:t>
            </w:r>
          </w:p>
        </w:tc>
      </w:tr>
      <w:tr>
        <w:tc>
          <w:tcPr>
            <w:tcW w:type="dxa" w:w="30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Phase Scope</w:t>
            </w:r>
          </w:p>
        </w:tc>
        <w:tc>
          <w:tcPr>
            <w:tcW w:type="dxa" w:w="63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Phase 5 — desktop implementation only</w:t>
            </w:r>
          </w:p>
        </w:tc>
      </w:tr>
      <w:tr>
        <w:tc>
          <w:tcPr>
            <w:tcW w:type="dxa" w:w="30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Architectural Target (Future)</w:t>
            </w:r>
          </w:p>
        </w:tc>
        <w:tc>
          <w:tcPr>
            <w:tcW w:type="dxa" w:w="63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PostgreSQL — deferred to Phase 6 or first multi-user deployment</w:t>
            </w:r>
          </w:p>
        </w:tc>
      </w:tr>
      <w:tr>
        <w:tc>
          <w:tcPr>
            <w:tcW w:type="dxa" w:w="30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Schema Compatibility</w:t>
            </w:r>
          </w:p>
        </w:tc>
        <w:tc>
          <w:tcPr>
            <w:tcW w:type="dxa" w:w="63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SQLite schema mirrors PostgreSQL design with documented type mappings</w:t>
            </w:r>
          </w:p>
        </w:tc>
      </w:tr>
      <w:tr>
        <w:tc>
          <w:tcPr>
            <w:tcW w:type="dxa" w:w="30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Concurrent Access</w:t>
            </w:r>
          </w:p>
        </w:tc>
        <w:tc>
          <w:tcPr>
            <w:tcW w:type="dxa" w:w="63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Single primary writer; WAL mode enables concurrent reads</w:t>
            </w:r>
          </w:p>
        </w:tc>
      </w:tr>
      <w:tr>
        <w:tc>
          <w:tcPr>
            <w:tcW w:type="dxa" w:w="30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Backup Method</w:t>
            </w:r>
          </w:p>
        </w:tc>
        <w:tc>
          <w:tcPr>
            <w:tcW w:type="dxa" w:w="63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File copy + SQLite Online Backup API + scheduled export to SQL dump</w:t>
            </w:r>
          </w:p>
        </w:tc>
      </w:tr>
      <w:tr>
        <w:tc>
          <w:tcPr>
            <w:tcW w:type="dxa" w:w="30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Decision Reference</w:t>
            </w:r>
          </w:p>
        </w:tc>
        <w:tc>
          <w:tcPr>
            <w:tcW w:type="dxa" w:w="63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TDN-DB-001 — April 23, 2026</w:t>
            </w:r>
          </w:p>
        </w:tc>
      </w:tr>
    </w:tbl>
    <w:p>
      <w:pPr>
        <w:spacing w:after="80" w:before="80"/>
      </w:pPr>
    </w:p>
    <w:p>
      <w:pPr>
        <w:pStyle w:val="Heading1"/>
        <w:pBdr>
          <w:bottom w:val="single" w:color="2E75B6" w:sz="8" w:space="4"/>
        </w:pBdr>
        <w:spacing w:after="120" w:before="280"/>
      </w:pPr>
      <w:r>
        <w:rPr>
          <w:rFonts w:ascii="Arial" w:cs="Arial" w:eastAsia="Arial" w:hAnsi="Arial"/>
          <w:b/>
          <w:bCs/>
          <w:color w:val="1F3864"/>
          <w:sz w:val="32"/>
          <w:szCs w:val="32"/>
        </w:rPr>
        <w:t xml:space="preserve">3. Rationale for SQLite Selection</w:t>
      </w:r>
    </w:p>
    <w:p>
      <w:pPr>
        <w:spacing w:after="60" w:before="60"/>
        <w:jc w:val="left"/>
      </w:pPr>
      <w:r>
        <w:rPr>
          <w:rFonts w:ascii="Arial" w:cs="Arial" w:eastAsia="Arial" w:hAnsi="Arial"/>
          <w:b w:val="false"/>
          <w:bCs w:val="false"/>
          <w:i w:val="false"/>
          <w:iCs w:val="false"/>
          <w:color w:val="000000"/>
          <w:sz w:val="20"/>
          <w:szCs w:val="20"/>
        </w:rPr>
        <w:t xml:space="preserve">The following factors drove the selection of SQLite for Phase 5:</w:t>
      </w:r>
    </w:p>
    <w:p>
      <w:pPr>
        <w:spacing w:after="80" w:before="80"/>
      </w:pPr>
    </w:p>
    <w:p>
      <w:pPr>
        <w:pStyle w:val="Heading2"/>
        <w:spacing w:after="100" w:before="220"/>
      </w:pPr>
      <w:r>
        <w:rPr>
          <w:rFonts w:ascii="Arial" w:cs="Arial" w:eastAsia="Arial" w:hAnsi="Arial"/>
          <w:b/>
          <w:bCs/>
          <w:color w:val="2E75B6"/>
          <w:sz w:val="26"/>
          <w:szCs w:val="26"/>
        </w:rPr>
        <w:t xml:space="preserve">3.1  Desktop-First Deployment Model</w:t>
      </w:r>
    </w:p>
    <w:p>
      <w:pPr>
        <w:spacing w:after="60" w:before="60"/>
        <w:jc w:val="left"/>
      </w:pPr>
      <w:r>
        <w:rPr>
          <w:rFonts w:ascii="Arial" w:cs="Arial" w:eastAsia="Arial" w:hAnsi="Arial"/>
          <w:b w:val="false"/>
          <w:bCs w:val="false"/>
          <w:i w:val="false"/>
          <w:iCs w:val="false"/>
          <w:color w:val="000000"/>
          <w:sz w:val="20"/>
          <w:szCs w:val="20"/>
        </w:rPr>
        <w:t xml:space="preserve">The system is explicitly designed as a local desktop application. The architecture document (README.md) states "Local-First Desktop Automation | No API Dependency." SQLite is the standard embedded database for desktop applications and requires no server installation, service configuration, port management, or authentication setup.</w:t>
      </w:r>
    </w:p>
    <w:p>
      <w:pPr>
        <w:spacing w:after="80" w:before="80"/>
      </w:pPr>
    </w:p>
    <w:p>
      <w:pPr>
        <w:pStyle w:val="Heading2"/>
        <w:spacing w:after="100" w:before="220"/>
      </w:pPr>
      <w:r>
        <w:rPr>
          <w:rFonts w:ascii="Arial" w:cs="Arial" w:eastAsia="Arial" w:hAnsi="Arial"/>
          <w:b/>
          <w:bCs/>
          <w:color w:val="2E75B6"/>
          <w:sz w:val="26"/>
          <w:szCs w:val="26"/>
        </w:rPr>
        <w:t xml:space="preserve">3.2  Zero Operational Overhead</w:t>
      </w:r>
    </w:p>
    <w:p>
      <w:pPr>
        <w:spacing w:after="60" w:before="60"/>
        <w:jc w:val="left"/>
      </w:pPr>
      <w:r>
        <w:rPr>
          <w:rFonts w:ascii="Arial" w:cs="Arial" w:eastAsia="Arial" w:hAnsi="Arial"/>
          <w:b w:val="false"/>
          <w:bCs w:val="false"/>
          <w:i w:val="false"/>
          <w:iCs w:val="false"/>
          <w:color w:val="000000"/>
          <w:sz w:val="20"/>
          <w:szCs w:val="20"/>
        </w:rPr>
        <w:t xml:space="preserve">PostgreSQL requires a running server process, user accounts, role management, connection pooling, and ongoing maintenance. For a Phase 5 desktop deployment operated by an engineering team — not a dedicated IT operations team — this overhead is disproportionate to the benefit. SQLite operates entirely within the application process as a library call.</w:t>
      </w:r>
    </w:p>
    <w:p>
      <w:pPr>
        <w:spacing w:after="80" w:before="80"/>
      </w:pPr>
    </w:p>
    <w:p>
      <w:pPr>
        <w:pStyle w:val="Heading2"/>
        <w:spacing w:after="100" w:before="220"/>
      </w:pPr>
      <w:r>
        <w:rPr>
          <w:rFonts w:ascii="Arial" w:cs="Arial" w:eastAsia="Arial" w:hAnsi="Arial"/>
          <w:b/>
          <w:bCs/>
          <w:color w:val="2E75B6"/>
          <w:sz w:val="26"/>
          <w:szCs w:val="26"/>
        </w:rPr>
        <w:t xml:space="preserve">3.3  Portability</w:t>
      </w:r>
    </w:p>
    <w:p>
      <w:pPr>
        <w:spacing w:after="60" w:before="60"/>
        <w:jc w:val="left"/>
      </w:pPr>
      <w:r>
        <w:rPr>
          <w:rFonts w:ascii="Arial" w:cs="Arial" w:eastAsia="Arial" w:hAnsi="Arial"/>
          <w:b w:val="false"/>
          <w:bCs w:val="false"/>
          <w:i w:val="false"/>
          <w:iCs w:val="false"/>
          <w:color w:val="000000"/>
          <w:sz w:val="20"/>
          <w:szCs w:val="20"/>
        </w:rPr>
        <w:t xml:space="preserve">The entire project database is a single file. This allows straightforward backup by file copy, trivial project transport between machines, and simple disaster recovery. In a desktop engineering workflow, this is operationally superior to managing a PostgreSQL instance for each machine.</w:t>
      </w:r>
    </w:p>
    <w:p>
      <w:pPr>
        <w:spacing w:after="80" w:before="80"/>
      </w:pPr>
    </w:p>
    <w:p>
      <w:pPr>
        <w:pStyle w:val="Heading2"/>
        <w:spacing w:after="100" w:before="220"/>
      </w:pPr>
      <w:r>
        <w:rPr>
          <w:rFonts w:ascii="Arial" w:cs="Arial" w:eastAsia="Arial" w:hAnsi="Arial"/>
          <w:b/>
          <w:bCs/>
          <w:color w:val="2E75B6"/>
          <w:sz w:val="26"/>
          <w:szCs w:val="26"/>
        </w:rPr>
        <w:t xml:space="preserve">3.4  Schema Compatibility</w:t>
      </w:r>
    </w:p>
    <w:p>
      <w:pPr>
        <w:spacing w:after="60" w:before="60"/>
        <w:jc w:val="left"/>
      </w:pPr>
      <w:r>
        <w:rPr>
          <w:rFonts w:ascii="Arial" w:cs="Arial" w:eastAsia="Arial" w:hAnsi="Arial"/>
          <w:b w:val="false"/>
          <w:bCs w:val="false"/>
          <w:i w:val="false"/>
          <w:iCs w:val="false"/>
          <w:color w:val="000000"/>
          <w:sz w:val="20"/>
          <w:szCs w:val="20"/>
        </w:rPr>
        <w:t xml:space="preserve">SQLite supports all required SQL constructs: CREATE TABLE, foreign keys (when enabled), triggers, indexes, transactions, and JSON storage via TEXT columns. All 57 physical tables specified in MasterDB v3+ can be implemented in SQLite with minor type mapping adjustments (documented in Section 5). No engineering logic, validation rule, or governance constraint requires a PostgreSQL-exclusive feature.</w:t>
      </w:r>
    </w:p>
    <w:p>
      <w:pPr>
        <w:spacing w:after="80" w:before="80"/>
      </w:pPr>
    </w:p>
    <w:p>
      <w:pPr>
        <w:pStyle w:val="Heading2"/>
        <w:spacing w:after="100" w:before="220"/>
      </w:pPr>
      <w:r>
        <w:rPr>
          <w:rFonts w:ascii="Arial" w:cs="Arial" w:eastAsia="Arial" w:hAnsi="Arial"/>
          <w:b/>
          <w:bCs/>
          <w:color w:val="2E75B6"/>
          <w:sz w:val="26"/>
          <w:szCs w:val="26"/>
        </w:rPr>
        <w:t xml:space="preserve">3.5  Sufficient Concurrency for Phase 5</w:t>
      </w:r>
    </w:p>
    <w:p>
      <w:pPr>
        <w:spacing w:after="60" w:before="60"/>
        <w:jc w:val="left"/>
      </w:pPr>
      <w:r>
        <w:rPr>
          <w:rFonts w:ascii="Arial" w:cs="Arial" w:eastAsia="Arial" w:hAnsi="Arial"/>
          <w:b w:val="false"/>
          <w:bCs w:val="false"/>
          <w:i w:val="false"/>
          <w:iCs w:val="false"/>
          <w:color w:val="000000"/>
          <w:sz w:val="20"/>
          <w:szCs w:val="20"/>
        </w:rPr>
        <w:t xml:space="preserve">Phase 5 operates as a single-user or minimal-concurrency desktop application with FastAPI + Celery workers. SQLite in WAL mode supports concurrent reads with a single writer. At the Celery worker scale expected in Phase 5 (2–4 workers), this is sufficient. Write contention is managed by the busy_timeout PRAGMA.</w:t>
      </w:r>
    </w:p>
    <w:p>
      <w:pPr>
        <w:spacing w:after="80" w:before="80"/>
      </w:pPr>
    </w:p>
    <w:p>
      <w:pPr>
        <w:pStyle w:val="Heading2"/>
        <w:spacing w:after="100" w:before="220"/>
      </w:pPr>
      <w:r>
        <w:rPr>
          <w:rFonts w:ascii="Arial" w:cs="Arial" w:eastAsia="Arial" w:hAnsi="Arial"/>
          <w:b/>
          <w:bCs/>
          <w:color w:val="2E75B6"/>
          <w:sz w:val="26"/>
          <w:szCs w:val="26"/>
        </w:rPr>
        <w:t xml:space="preserve">3.6  Speed to Build</w:t>
      </w:r>
    </w:p>
    <w:p>
      <w:pPr>
        <w:spacing w:after="60" w:before="60"/>
        <w:jc w:val="left"/>
      </w:pPr>
      <w:r>
        <w:rPr>
          <w:rFonts w:ascii="Arial" w:cs="Arial" w:eastAsia="Arial" w:hAnsi="Arial"/>
          <w:b w:val="false"/>
          <w:bCs w:val="false"/>
          <w:i w:val="false"/>
          <w:iCs w:val="false"/>
          <w:color w:val="000000"/>
          <w:sz w:val="20"/>
          <w:szCs w:val="20"/>
        </w:rPr>
        <w:t xml:space="preserve">SQLite requires no installation or server setup. The IT team can begin schema creation immediately after receiving this note. This removes a significant setup dependency from the critical path.</w:t>
      </w:r>
    </w:p>
    <w:p>
      <w:pPr>
        <w:spacing w:after="80" w:before="80"/>
      </w:pPr>
    </w:p>
    <w:p>
      <w:pPr>
        <w:pStyle w:val="Heading1"/>
        <w:pBdr>
          <w:bottom w:val="single" w:color="2E75B6" w:sz="8" w:space="4"/>
        </w:pBdr>
        <w:spacing w:after="120" w:before="280"/>
      </w:pPr>
      <w:r>
        <w:rPr>
          <w:rFonts w:ascii="Arial" w:cs="Arial" w:eastAsia="Arial" w:hAnsi="Arial"/>
          <w:b/>
          <w:bCs/>
          <w:color w:val="1F3864"/>
          <w:sz w:val="32"/>
          <w:szCs w:val="32"/>
        </w:rPr>
        <w:t xml:space="preserve">4. PostgreSQL Deferral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F8F00" w:sz="4"/>
              <w:left w:val="single" w:color="BF8F00" w:sz="4"/>
              <w:bottom w:val="single" w:color="BF8F00" w:sz="4"/>
              <w:right w:val="single" w:color="BF8F00" w:sz="4"/>
            </w:tcBorders>
            <w:shd w:fill="FFF2CC" w:val="clear"/>
            <w:tcMar>
              <w:top w:type="dxa" w:w="80"/>
              <w:left w:type="dxa" w:w="120"/>
              <w:bottom w:type="dxa" w:w="80"/>
              <w:right w:type="dxa" w:w="120"/>
            </w:tcMar>
          </w:tcPr>
          <w:p>
            <w:pPr>
              <w:jc w:val="center"/>
            </w:pPr>
            <w:r>
              <w:rPr>
                <w:rFonts w:ascii="Arial" w:cs="Arial" w:eastAsia="Arial" w:hAnsi="Arial"/>
                <w:b/>
                <w:bCs/>
                <w:color w:val="BF8F00"/>
                <w:sz w:val="20"/>
                <w:szCs w:val="20"/>
              </w:rPr>
              <w:t xml:space="preserve">DEFERRED</w:t>
            </w:r>
          </w:p>
        </w:tc>
        <w:tc>
          <w:tcPr>
            <w:tcW w:type="dxa" w:w="8160"/>
            <w:tcBorders>
              <w:top w:val="single" w:color="BF8F00" w:sz="4"/>
              <w:left w:val="single" w:color="BF8F00" w:sz="4"/>
              <w:bottom w:val="single" w:color="BF8F00" w:sz="4"/>
              <w:right w:val="single" w:color="BF8F00" w:sz="4"/>
            </w:tcBorders>
            <w:shd w:fill="FFF2CC" w:val="clear"/>
            <w:tcMar>
              <w:top w:type="dxa" w:w="80"/>
              <w:left w:type="dxa" w:w="120"/>
              <w:bottom w:type="dxa" w:w="80"/>
              <w:right w:type="dxa" w:w="120"/>
            </w:tcMar>
          </w:tcPr>
          <w:p>
            <w:r>
              <w:rPr>
                <w:rFonts w:ascii="Arial" w:cs="Arial" w:eastAsia="Arial" w:hAnsi="Arial"/>
                <w:color w:val="000000"/>
                <w:sz w:val="20"/>
                <w:szCs w:val="20"/>
              </w:rPr>
              <w:t xml:space="preserve">PostgreSQL is NOT abandoned — it is deferred. The full PostgreSQL schema (57 tables) remains the architectural target for any multi-user or server deployment. The Phase 5 SQLite schema is designed to migrate without data loss.</w:t>
            </w:r>
          </w:p>
        </w:tc>
      </w:tr>
    </w:tbl>
    <w:p>
      <w:pPr>
        <w:spacing w:after="80" w:before="80"/>
      </w:pPr>
    </w:p>
    <w:p>
      <w:pPr>
        <w:spacing w:after="60" w:before="60"/>
        <w:jc w:val="left"/>
      </w:pPr>
      <w:r>
        <w:rPr>
          <w:rFonts w:ascii="Arial" w:cs="Arial" w:eastAsia="Arial" w:hAnsi="Arial"/>
          <w:b w:val="false"/>
          <w:bCs w:val="false"/>
          <w:i w:val="false"/>
          <w:iCs w:val="false"/>
          <w:color w:val="000000"/>
          <w:sz w:val="20"/>
          <w:szCs w:val="20"/>
        </w:rPr>
        <w:t xml:space="preserve">PostgreSQL was specified in the original architecture for the following capabilities that are not required in Phase 5:</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gridSpan w:val="1"/>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PostgreSQL Capability</w:t>
            </w:r>
          </w:p>
        </w:tc>
        <w:tc>
          <w:tcPr>
            <w:tcW w:type="dxa" w:w="2200"/>
            <w:gridSpan w:val="1"/>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Required in Phase 5?</w:t>
            </w:r>
          </w:p>
        </w:tc>
        <w:tc>
          <w:tcPr>
            <w:tcW w:type="dxa" w:w="4360"/>
            <w:gridSpan w:val="1"/>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Deferral Reason</w:t>
            </w:r>
          </w:p>
        </w:tc>
      </w:tr>
      <w:tr>
        <w:tc>
          <w:tcPr>
            <w:tcW w:type="dxa" w:w="28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Multi-user concurrent write access</w:t>
            </w:r>
          </w:p>
        </w:tc>
        <w:tc>
          <w:tcPr>
            <w:tcW w:type="dxa" w:w="220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i w:val="false"/>
                <w:iCs w:val="false"/>
                <w:color w:val="000000"/>
                <w:sz w:val="18"/>
                <w:szCs w:val="18"/>
              </w:rPr>
              <w:t xml:space="preserve">No</w:t>
            </w:r>
          </w:p>
        </w:tc>
        <w:tc>
          <w:tcPr>
            <w:tcW w:type="dxa" w:w="43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Phase 5 is single-user desktop. One writer at a time.</w:t>
            </w:r>
          </w:p>
        </w:tc>
      </w:tr>
      <w:tr>
        <w:tc>
          <w:tcPr>
            <w:tcW w:type="dxa" w:w="28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Native JSONB with indexed query</w:t>
            </w:r>
          </w:p>
        </w:tc>
        <w:tc>
          <w:tcPr>
            <w:tcW w:type="dxa" w:w="22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i w:val="false"/>
                <w:iCs w:val="false"/>
                <w:color w:val="000000"/>
                <w:sz w:val="18"/>
                <w:szCs w:val="18"/>
              </w:rPr>
              <w:t xml:space="preserve">No</w:t>
            </w:r>
          </w:p>
        </w:tc>
        <w:tc>
          <w:tcPr>
            <w:tcW w:type="dxa" w:w="43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JSON stored as TEXT in SQLite. Application layer parses. No performance impact at Phase 5 scale.</w:t>
            </w:r>
          </w:p>
        </w:tc>
      </w:tr>
      <w:tr>
        <w:tc>
          <w:tcPr>
            <w:tcW w:type="dxa" w:w="28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Full-text search (pg_trgm, GIN)</w:t>
            </w:r>
          </w:p>
        </w:tc>
        <w:tc>
          <w:tcPr>
            <w:tcW w:type="dxa" w:w="220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i w:val="false"/>
                <w:iCs w:val="false"/>
                <w:color w:val="000000"/>
                <w:sz w:val="18"/>
                <w:szCs w:val="18"/>
              </w:rPr>
              <w:t xml:space="preserve">No</w:t>
            </w:r>
          </w:p>
        </w:tc>
        <w:tc>
          <w:tcPr>
            <w:tcW w:type="dxa" w:w="43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No full-text search required in Phase 5 agent logic.</w:t>
            </w:r>
          </w:p>
        </w:tc>
      </w:tr>
      <w:tr>
        <w:tc>
          <w:tcPr>
            <w:tcW w:type="dxa" w:w="28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Row-level security (RLS)</w:t>
            </w:r>
          </w:p>
        </w:tc>
        <w:tc>
          <w:tcPr>
            <w:tcW w:type="dxa" w:w="22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i w:val="false"/>
                <w:iCs w:val="false"/>
                <w:color w:val="000000"/>
                <w:sz w:val="18"/>
                <w:szCs w:val="18"/>
              </w:rPr>
              <w:t xml:space="preserve">No</w:t>
            </w:r>
          </w:p>
        </w:tc>
        <w:tc>
          <w:tcPr>
            <w:tcW w:type="dxa" w:w="43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Single-user desktop; no multi-tenant data isolation needed.</w:t>
            </w:r>
          </w:p>
        </w:tc>
      </w:tr>
      <w:tr>
        <w:tc>
          <w:tcPr>
            <w:tcW w:type="dxa" w:w="28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LISTEN / NOTIFY pub-sub</w:t>
            </w:r>
          </w:p>
        </w:tc>
        <w:tc>
          <w:tcPr>
            <w:tcW w:type="dxa" w:w="220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i w:val="false"/>
                <w:iCs w:val="false"/>
                <w:color w:val="000000"/>
                <w:sz w:val="18"/>
                <w:szCs w:val="18"/>
              </w:rPr>
              <w:t xml:space="preserve">No</w:t>
            </w:r>
          </w:p>
        </w:tc>
        <w:tc>
          <w:tcPr>
            <w:tcW w:type="dxa" w:w="43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WebSocket handled at FastAPI layer, not database layer.</w:t>
            </w:r>
          </w:p>
        </w:tc>
      </w:tr>
      <w:tr>
        <w:tc>
          <w:tcPr>
            <w:tcW w:type="dxa" w:w="28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Logical replication / streaming</w:t>
            </w:r>
          </w:p>
        </w:tc>
        <w:tc>
          <w:tcPr>
            <w:tcW w:type="dxa" w:w="22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i w:val="false"/>
                <w:iCs w:val="false"/>
                <w:color w:val="000000"/>
                <w:sz w:val="18"/>
                <w:szCs w:val="18"/>
              </w:rPr>
              <w:t xml:space="preserve">No</w:t>
            </w:r>
          </w:p>
        </w:tc>
        <w:tc>
          <w:tcPr>
            <w:tcW w:type="dxa" w:w="43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No distributed nodes in Phase 5.</w:t>
            </w:r>
          </w:p>
        </w:tc>
      </w:tr>
      <w:tr>
        <w:tc>
          <w:tcPr>
            <w:tcW w:type="dxa" w:w="28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Native partitioning</w:t>
            </w:r>
          </w:p>
        </w:tc>
        <w:tc>
          <w:tcPr>
            <w:tcW w:type="dxa" w:w="220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i w:val="false"/>
                <w:iCs w:val="false"/>
                <w:color w:val="000000"/>
                <w:sz w:val="18"/>
                <w:szCs w:val="18"/>
              </w:rPr>
              <w:t xml:space="preserve">No</w:t>
            </w:r>
          </w:p>
        </w:tc>
        <w:tc>
          <w:tcPr>
            <w:tcW w:type="dxa" w:w="43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Audit log volume insufficient to require partitioning in Phase 5.</w:t>
            </w:r>
          </w:p>
        </w:tc>
      </w:tr>
      <w:tr>
        <w:tc>
          <w:tcPr>
            <w:tcW w:type="dxa" w:w="28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Connection pooling (PgBouncer)</w:t>
            </w:r>
          </w:p>
        </w:tc>
        <w:tc>
          <w:tcPr>
            <w:tcW w:type="dxa" w:w="22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i w:val="false"/>
                <w:iCs w:val="false"/>
                <w:color w:val="000000"/>
                <w:sz w:val="18"/>
                <w:szCs w:val="18"/>
              </w:rPr>
              <w:t xml:space="preserve">No</w:t>
            </w:r>
          </w:p>
        </w:tc>
        <w:tc>
          <w:tcPr>
            <w:tcW w:type="dxa" w:w="43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No connection pool required for single-user desktop.</w:t>
            </w:r>
          </w:p>
        </w:tc>
      </w:tr>
      <w:tr>
        <w:tc>
          <w:tcPr>
            <w:tcW w:type="dxa" w:w="28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pg_cron / scheduled jobs</w:t>
            </w:r>
          </w:p>
        </w:tc>
        <w:tc>
          <w:tcPr>
            <w:tcW w:type="dxa" w:w="220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center"/>
            </w:pPr>
            <w:r>
              <w:rPr>
                <w:rFonts w:ascii="Arial" w:cs="Arial" w:eastAsia="Arial" w:hAnsi="Arial"/>
                <w:b w:val="false"/>
                <w:bCs w:val="false"/>
                <w:i w:val="false"/>
                <w:iCs w:val="false"/>
                <w:color w:val="000000"/>
                <w:sz w:val="18"/>
                <w:szCs w:val="18"/>
              </w:rPr>
              <w:t xml:space="preserve">No</w:t>
            </w:r>
          </w:p>
        </w:tc>
        <w:tc>
          <w:tcPr>
            <w:tcW w:type="dxa" w:w="43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Celery handles all scheduling.</w:t>
            </w:r>
          </w:p>
        </w:tc>
      </w:tr>
      <w:tr>
        <w:tc>
          <w:tcPr>
            <w:tcW w:type="dxa" w:w="28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ARRAY and composite types</w:t>
            </w:r>
          </w:p>
        </w:tc>
        <w:tc>
          <w:tcPr>
            <w:tcW w:type="dxa" w:w="22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i w:val="false"/>
                <w:iCs w:val="false"/>
                <w:color w:val="000000"/>
                <w:sz w:val="18"/>
                <w:szCs w:val="18"/>
              </w:rPr>
              <w:t xml:space="preserve">No</w:t>
            </w:r>
          </w:p>
        </w:tc>
        <w:tc>
          <w:tcPr>
            <w:tcW w:type="dxa" w:w="43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Ordered lists stored as JSON TEXT arrays in SQLite.</w:t>
            </w:r>
          </w:p>
        </w:tc>
      </w:tr>
    </w:tbl>
    <w:p>
      <w:pPr>
        <w:spacing w:after="80" w:before="80"/>
      </w:pPr>
    </w:p>
    <w:p>
      <w:pPr>
        <w:pStyle w:val="Heading1"/>
        <w:pBdr>
          <w:bottom w:val="single" w:color="2E75B6" w:sz="8" w:space="4"/>
        </w:pBdr>
        <w:spacing w:after="120" w:before="280"/>
      </w:pPr>
      <w:r>
        <w:rPr>
          <w:rFonts w:ascii="Arial" w:cs="Arial" w:eastAsia="Arial" w:hAnsi="Arial"/>
          <w:b/>
          <w:bCs/>
          <w:color w:val="1F3864"/>
          <w:sz w:val="32"/>
          <w:szCs w:val="32"/>
        </w:rPr>
        <w:t xml:space="preserve">5. SQLite Operational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IMPORTANT</w:t>
            </w:r>
          </w:p>
        </w:tc>
        <w:tc>
          <w:tcPr>
            <w:tcW w:type="dxa" w:w="816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r>
              <w:rPr>
                <w:rFonts w:ascii="Arial" w:cs="Arial" w:eastAsia="Arial" w:hAnsi="Arial"/>
                <w:color w:val="000000"/>
                <w:sz w:val="20"/>
                <w:szCs w:val="20"/>
              </w:rPr>
              <w:t xml:space="preserve">The following constraints are real limitations of SQLite that the IT team must design around. None of them affect the engineering schema, validation logic, or rule governance. They affect only implementation patterns.</w:t>
            </w:r>
          </w:p>
        </w:tc>
      </w:tr>
    </w:tbl>
    <w:p>
      <w:pPr>
        <w:spacing w:after="80" w:before="80"/>
      </w:pPr>
    </w:p>
    <w:p>
      <w:pPr>
        <w:pStyle w:val="Heading2"/>
        <w:spacing w:after="100" w:before="220"/>
      </w:pPr>
      <w:r>
        <w:rPr>
          <w:rFonts w:ascii="Arial" w:cs="Arial" w:eastAsia="Arial" w:hAnsi="Arial"/>
          <w:b/>
          <w:bCs/>
          <w:color w:val="2E75B6"/>
          <w:sz w:val="26"/>
          <w:szCs w:val="26"/>
        </w:rPr>
        <w:t xml:space="preserve">5.1  Type System Mapping</w:t>
      </w:r>
    </w:p>
    <w:p>
      <w:pPr>
        <w:spacing w:after="60" w:before="60"/>
        <w:jc w:val="left"/>
      </w:pPr>
      <w:r>
        <w:rPr>
          <w:rFonts w:ascii="Arial" w:cs="Arial" w:eastAsia="Arial" w:hAnsi="Arial"/>
          <w:b w:val="false"/>
          <w:bCs w:val="false"/>
          <w:i w:val="false"/>
          <w:iCs w:val="false"/>
          <w:color w:val="000000"/>
          <w:sz w:val="20"/>
          <w:szCs w:val="20"/>
        </w:rPr>
        <w:t xml:space="preserve">SQLite uses dynamic typing with type affinity. The following PostgreSQL types require mapping: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2E75B6" w:sz="4"/>
              <w:left w:val="single" w:color="2E75B6" w:sz="4"/>
              <w:bottom w:val="single" w:color="2E75B6" w:sz="4"/>
              <w:right w:val="single" w:color="2E75B6" w:sz="4"/>
            </w:tcBorders>
            <w:shd w:fill="2E75B6"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PostgreSQL Type</w:t>
            </w:r>
          </w:p>
        </w:tc>
        <w:tc>
          <w:tcPr>
            <w:tcW w:type="dxa" w:w="6360"/>
            <w:gridSpan w:val="1"/>
            <w:tcBorders>
              <w:top w:val="single" w:color="2E75B6" w:sz="4"/>
              <w:left w:val="single" w:color="2E75B6" w:sz="4"/>
              <w:bottom w:val="single" w:color="2E75B6" w:sz="4"/>
              <w:right w:val="single" w:color="2E75B6" w:sz="4"/>
            </w:tcBorders>
            <w:shd w:fill="2E75B6"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SQLite Implementation</w:t>
            </w:r>
          </w:p>
        </w:tc>
      </w:tr>
      <w:tr>
        <w:tc>
          <w:tcPr>
            <w:tcW w:type="dxa" w:w="30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SERIAL / BIGSERIAL</w:t>
            </w:r>
          </w:p>
        </w:tc>
        <w:tc>
          <w:tcPr>
            <w:tcW w:type="dxa" w:w="63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INTEGER PRIMARY KEY AUTOINCREMENT</w:t>
            </w:r>
          </w:p>
        </w:tc>
      </w:tr>
      <w:tr>
        <w:tc>
          <w:tcPr>
            <w:tcW w:type="dxa" w:w="30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UUID</w:t>
            </w:r>
          </w:p>
        </w:tc>
        <w:tc>
          <w:tcPr>
            <w:tcW w:type="dxa" w:w="63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TEXT (store as standard UUID string, e.g. "550e8400-e29b-41d4-a716-446655440000")</w:t>
            </w:r>
          </w:p>
        </w:tc>
      </w:tr>
      <w:tr>
        <w:tc>
          <w:tcPr>
            <w:tcW w:type="dxa" w:w="30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BOOLEAN</w:t>
            </w:r>
          </w:p>
        </w:tc>
        <w:tc>
          <w:tcPr>
            <w:tcW w:type="dxa" w:w="63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INTEGER (0 = false, 1 = true). Application enforces boolean semantics.</w:t>
            </w:r>
          </w:p>
        </w:tc>
      </w:tr>
      <w:tr>
        <w:tc>
          <w:tcPr>
            <w:tcW w:type="dxa" w:w="30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JSONB</w:t>
            </w:r>
          </w:p>
        </w:tc>
        <w:tc>
          <w:tcPr>
            <w:tcW w:type="dxa" w:w="63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TEXT (store as JSON string). Application serialises/deserialises. No indexed JSON query in Phase 5.</w:t>
            </w:r>
          </w:p>
        </w:tc>
      </w:tr>
      <w:tr>
        <w:tc>
          <w:tcPr>
            <w:tcW w:type="dxa" w:w="30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TIMESTAMP WITH TIME ZONE</w:t>
            </w:r>
          </w:p>
        </w:tc>
        <w:tc>
          <w:tcPr>
            <w:tcW w:type="dxa" w:w="63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TEXT in ISO 8601 format: "2026-04-23T14:30:00+05:30". Application enforces timezone handling.</w:t>
            </w:r>
          </w:p>
        </w:tc>
      </w:tr>
      <w:tr>
        <w:tc>
          <w:tcPr>
            <w:tcW w:type="dxa" w:w="30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ARRAY types</w:t>
            </w:r>
          </w:p>
        </w:tc>
        <w:tc>
          <w:tcPr>
            <w:tcW w:type="dxa" w:w="63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TEXT (store as JSON array string, e.g. "['M20', 'M24']"). Application parses.</w:t>
            </w:r>
          </w:p>
        </w:tc>
      </w:tr>
      <w:tr>
        <w:tc>
          <w:tcPr>
            <w:tcW w:type="dxa" w:w="30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NUMERIC(p,s)</w:t>
            </w:r>
          </w:p>
        </w:tc>
        <w:tc>
          <w:tcPr>
            <w:tcW w:type="dxa" w:w="63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REAL or TEXT. For currency/precise values: store as TEXT to avoid float precision loss.</w:t>
            </w:r>
          </w:p>
        </w:tc>
      </w:tr>
      <w:tr>
        <w:tc>
          <w:tcPr>
            <w:tcW w:type="dxa" w:w="30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ENUM types</w:t>
            </w:r>
          </w:p>
        </w:tc>
        <w:tc>
          <w:tcPr>
            <w:tcW w:type="dxa" w:w="63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TEXT with CHECK constraints referencing controlled_value_master. Application enforces enumeration.</w:t>
            </w:r>
          </w:p>
        </w:tc>
      </w:tr>
    </w:tbl>
    <w:p>
      <w:pPr>
        <w:spacing w:after="80" w:before="80"/>
      </w:pPr>
    </w:p>
    <w:p>
      <w:pPr>
        <w:pStyle w:val="Heading2"/>
        <w:spacing w:after="100" w:before="220"/>
      </w:pPr>
      <w:r>
        <w:rPr>
          <w:rFonts w:ascii="Arial" w:cs="Arial" w:eastAsia="Arial" w:hAnsi="Arial"/>
          <w:b/>
          <w:bCs/>
          <w:color w:val="2E75B6"/>
          <w:sz w:val="26"/>
          <w:szCs w:val="26"/>
        </w:rPr>
        <w:t xml:space="preserve">5.2  Foreign Key Enforcement</w:t>
      </w:r>
    </w:p>
    <w:p>
      <w:pPr>
        <w:spacing w:after="60" w:before="60"/>
        <w:jc w:val="left"/>
      </w:pPr>
      <w:r>
        <w:rPr>
          <w:rFonts w:ascii="Arial" w:cs="Arial" w:eastAsia="Arial" w:hAnsi="Arial"/>
          <w:b w:val="false"/>
          <w:bCs w:val="false"/>
          <w:i w:val="false"/>
          <w:iCs w:val="false"/>
          <w:color w:val="000000"/>
          <w:sz w:val="20"/>
          <w:szCs w:val="20"/>
        </w:rPr>
        <w:t xml:space="preserve">SQLite does not enforce foreign keys by default. The following PRAGMA must be executed on every new database connection, without exception: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00000" w:sz="4"/>
              <w:left w:val="single" w:color="C00000" w:sz="4"/>
              <w:bottom w:val="single" w:color="C00000" w:sz="4"/>
              <w:right w:val="single" w:color="C00000" w:sz="4"/>
            </w:tcBorders>
            <w:shd w:fill="FCE4D6"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MANDATORY</w:t>
            </w:r>
          </w:p>
        </w:tc>
        <w:tc>
          <w:tcPr>
            <w:tcW w:type="dxa" w:w="8160"/>
            <w:tcBorders>
              <w:top w:val="single" w:color="C00000" w:sz="4"/>
              <w:left w:val="single" w:color="C00000" w:sz="4"/>
              <w:bottom w:val="single" w:color="C00000" w:sz="4"/>
              <w:right w:val="single" w:color="C00000" w:sz="4"/>
            </w:tcBorders>
            <w:shd w:fill="FCE4D6" w:val="clear"/>
            <w:tcMar>
              <w:top w:type="dxa" w:w="80"/>
              <w:left w:type="dxa" w:w="120"/>
              <w:bottom w:type="dxa" w:w="80"/>
              <w:right w:type="dxa" w:w="120"/>
            </w:tcMar>
          </w:tcPr>
          <w:p>
            <w:r>
              <w:rPr>
                <w:rFonts w:ascii="Arial" w:cs="Arial" w:eastAsia="Arial" w:hAnsi="Arial"/>
                <w:color w:val="000000"/>
                <w:sz w:val="20"/>
                <w:szCs w:val="20"/>
              </w:rPr>
              <w:t xml:space="preserve">PRAGMA foreign_keys = ON;  — Must be the first statement on every connection. Failure to set this means all referential integrity checks between the 57 tables will be silently ignored, which would allow orphaned records and corrupt validation results.</w:t>
            </w:r>
          </w:p>
        </w:tc>
      </w:tr>
    </w:tbl>
    <w:p>
      <w:pPr>
        <w:spacing w:after="80" w:before="80"/>
      </w:pPr>
    </w:p>
    <w:p>
      <w:pPr>
        <w:pStyle w:val="Heading2"/>
        <w:spacing w:after="100" w:before="220"/>
      </w:pPr>
      <w:r>
        <w:rPr>
          <w:rFonts w:ascii="Arial" w:cs="Arial" w:eastAsia="Arial" w:hAnsi="Arial"/>
          <w:b/>
          <w:bCs/>
          <w:color w:val="2E75B6"/>
          <w:sz w:val="26"/>
          <w:szCs w:val="26"/>
        </w:rPr>
        <w:t xml:space="preserve">5.3  Single Writer Constraint</w:t>
      </w:r>
    </w:p>
    <w:p>
      <w:pPr>
        <w:spacing w:after="60" w:before="60"/>
        <w:jc w:val="left"/>
      </w:pPr>
      <w:r>
        <w:rPr>
          <w:rFonts w:ascii="Arial" w:cs="Arial" w:eastAsia="Arial" w:hAnsi="Arial"/>
          <w:b w:val="false"/>
          <w:bCs w:val="false"/>
          <w:i w:val="false"/>
          <w:iCs w:val="false"/>
          <w:color w:val="000000"/>
          <w:sz w:val="20"/>
          <w:szCs w:val="20"/>
        </w:rPr>
        <w:t xml:space="preserve">SQLite allows only one writer at a time. In WAL mode, readers do not block the writer and the writer does not block readers. However, two simultaneous write operations will queue. The Celery worker pool must be designed with this constraint in mind:</w:t>
      </w:r>
    </w:p>
    <w:p>
      <w:pPr>
        <w:pStyle w:val="ListParagraph"/>
        <w:numPr>
          <w:ilvl w:val="0"/>
          <w:numId w:val="2"/>
        </w:numPr>
        <w:spacing w:after="40" w:before="40"/>
      </w:pPr>
      <w:r>
        <w:rPr>
          <w:rFonts w:ascii="Arial" w:cs="Arial" w:eastAsia="Arial" w:hAnsi="Arial"/>
          <w:b w:val="false"/>
          <w:bCs w:val="false"/>
          <w:color w:val="000000"/>
          <w:sz w:val="20"/>
          <w:szCs w:val="20"/>
        </w:rPr>
        <w:t xml:space="preserve">Maximum 4 concurrent Celery workers recommended for Phase 5</w:t>
      </w:r>
    </w:p>
    <w:p>
      <w:pPr>
        <w:pStyle w:val="ListParagraph"/>
        <w:numPr>
          <w:ilvl w:val="0"/>
          <w:numId w:val="2"/>
        </w:numPr>
        <w:spacing w:after="40" w:before="40"/>
      </w:pPr>
      <w:r>
        <w:rPr>
          <w:rFonts w:ascii="Arial" w:cs="Arial" w:eastAsia="Arial" w:hAnsi="Arial"/>
          <w:b w:val="false"/>
          <w:bCs w:val="false"/>
          <w:color w:val="000000"/>
          <w:sz w:val="20"/>
          <w:szCs w:val="20"/>
        </w:rPr>
        <w:t xml:space="preserve">All workers must use the busy_timeout PRAGMA (5000ms minimum) to handle contention gracefully</w:t>
      </w:r>
    </w:p>
    <w:p>
      <w:pPr>
        <w:pStyle w:val="ListParagraph"/>
        <w:numPr>
          <w:ilvl w:val="0"/>
          <w:numId w:val="2"/>
        </w:numPr>
        <w:spacing w:after="40" w:before="40"/>
      </w:pPr>
      <w:r>
        <w:rPr>
          <w:rFonts w:ascii="Arial" w:cs="Arial" w:eastAsia="Arial" w:hAnsi="Arial"/>
          <w:b w:val="false"/>
          <w:bCs w:val="false"/>
          <w:color w:val="000000"/>
          <w:sz w:val="20"/>
          <w:szCs w:val="20"/>
        </w:rPr>
        <w:t xml:space="preserve">Long-running write transactions (e.g., bulk Phase 1 data population) should be run outside active project sessions</w:t>
      </w:r>
    </w:p>
    <w:p>
      <w:pPr>
        <w:pStyle w:val="ListParagraph"/>
        <w:numPr>
          <w:ilvl w:val="0"/>
          <w:numId w:val="2"/>
        </w:numPr>
        <w:spacing w:after="40" w:before="40"/>
      </w:pPr>
      <w:r>
        <w:rPr>
          <w:rFonts w:ascii="Arial" w:cs="Arial" w:eastAsia="Arial" w:hAnsi="Arial"/>
          <w:b w:val="false"/>
          <w:bCs w:val="false"/>
          <w:color w:val="000000"/>
          <w:sz w:val="20"/>
          <w:szCs w:val="20"/>
        </w:rPr>
        <w:t xml:space="preserve">Agent stages that write large volumes (P1-01 through P1-05) should run sequentially, not in parallel</w:t>
      </w:r>
    </w:p>
    <w:p>
      <w:pPr>
        <w:spacing w:after="80" w:before="80"/>
      </w:pPr>
    </w:p>
    <w:p>
      <w:pPr>
        <w:pStyle w:val="Heading2"/>
        <w:spacing w:after="100" w:before="220"/>
      </w:pPr>
      <w:r>
        <w:rPr>
          <w:rFonts w:ascii="Arial" w:cs="Arial" w:eastAsia="Arial" w:hAnsi="Arial"/>
          <w:b/>
          <w:bCs/>
          <w:color w:val="2E75B6"/>
          <w:sz w:val="26"/>
          <w:szCs w:val="26"/>
        </w:rPr>
        <w:t xml:space="preserve">5.4  File-Level Locking</w:t>
      </w:r>
    </w:p>
    <w:p>
      <w:pPr>
        <w:spacing w:after="60" w:before="60"/>
        <w:jc w:val="left"/>
      </w:pPr>
      <w:r>
        <w:rPr>
          <w:rFonts w:ascii="Arial" w:cs="Arial" w:eastAsia="Arial" w:hAnsi="Arial"/>
          <w:b w:val="false"/>
          <w:bCs w:val="false"/>
          <w:i w:val="false"/>
          <w:iCs w:val="false"/>
          <w:color w:val="000000"/>
          <w:sz w:val="20"/>
          <w:szCs w:val="20"/>
        </w:rPr>
        <w:t xml:space="preserve">SQLite locks at the database file level, not at the row or table level. This is appropriate for Phase 5 but means the entire database is unavailable for writes during a transaction. Design implications:</w:t>
      </w:r>
    </w:p>
    <w:p>
      <w:pPr>
        <w:pStyle w:val="ListParagraph"/>
        <w:numPr>
          <w:ilvl w:val="0"/>
          <w:numId w:val="2"/>
        </w:numPr>
        <w:spacing w:after="40" w:before="40"/>
      </w:pPr>
      <w:r>
        <w:rPr>
          <w:rFonts w:ascii="Arial" w:cs="Arial" w:eastAsia="Arial" w:hAnsi="Arial"/>
          <w:b w:val="false"/>
          <w:bCs w:val="false"/>
          <w:color w:val="000000"/>
          <w:sz w:val="20"/>
          <w:szCs w:val="20"/>
        </w:rPr>
        <w:t xml:space="preserve">Keep write transactions as short as possible</w:t>
      </w:r>
    </w:p>
    <w:p>
      <w:pPr>
        <w:pStyle w:val="ListParagraph"/>
        <w:numPr>
          <w:ilvl w:val="0"/>
          <w:numId w:val="2"/>
        </w:numPr>
        <w:spacing w:after="40" w:before="40"/>
      </w:pPr>
      <w:r>
        <w:rPr>
          <w:rFonts w:ascii="Arial" w:cs="Arial" w:eastAsia="Arial" w:hAnsi="Arial"/>
          <w:b w:val="false"/>
          <w:bCs w:val="false"/>
          <w:color w:val="000000"/>
          <w:sz w:val="20"/>
          <w:szCs w:val="20"/>
        </w:rPr>
        <w:t xml:space="preserve">Audit log writes should be batched where feasible</w:t>
      </w:r>
    </w:p>
    <w:p>
      <w:pPr>
        <w:pStyle w:val="ListParagraph"/>
        <w:numPr>
          <w:ilvl w:val="0"/>
          <w:numId w:val="2"/>
        </w:numPr>
        <w:spacing w:after="40" w:before="40"/>
      </w:pPr>
      <w:r>
        <w:rPr>
          <w:rFonts w:ascii="Arial" w:cs="Arial" w:eastAsia="Arial" w:hAnsi="Arial"/>
          <w:b w:val="false"/>
          <w:bCs w:val="false"/>
          <w:color w:val="000000"/>
          <w:sz w:val="20"/>
          <w:szCs w:val="20"/>
        </w:rPr>
        <w:t xml:space="preserve">Stage checkpoint snapshots (stage_checkpoints table) should be written atomically in a single transaction</w:t>
      </w:r>
    </w:p>
    <w:p>
      <w:pPr>
        <w:spacing w:after="80" w:before="80"/>
      </w:pPr>
    </w:p>
    <w:p>
      <w:pPr>
        <w:pStyle w:val="Heading2"/>
        <w:spacing w:after="100" w:before="220"/>
      </w:pPr>
      <w:r>
        <w:rPr>
          <w:rFonts w:ascii="Arial" w:cs="Arial" w:eastAsia="Arial" w:hAnsi="Arial"/>
          <w:b/>
          <w:bCs/>
          <w:color w:val="2E75B6"/>
          <w:sz w:val="26"/>
          <w:szCs w:val="26"/>
        </w:rPr>
        <w:t xml:space="preserve">5.5  ALTER TABLE Limitations</w:t>
      </w:r>
    </w:p>
    <w:p>
      <w:pPr>
        <w:spacing w:after="60" w:before="60"/>
        <w:jc w:val="left"/>
      </w:pPr>
      <w:r>
        <w:rPr>
          <w:rFonts w:ascii="Arial" w:cs="Arial" w:eastAsia="Arial" w:hAnsi="Arial"/>
          <w:b w:val="false"/>
          <w:bCs w:val="false"/>
          <w:i w:val="false"/>
          <w:iCs w:val="false"/>
          <w:color w:val="000000"/>
          <w:sz w:val="20"/>
          <w:szCs w:val="20"/>
        </w:rPr>
        <w:t xml:space="preserve">SQLite's ALTER TABLE only supports: ADD COLUMN and RENAME TABLE/COLUMN (SQLite 3.25+). It does not support DROP COLUMN (before SQLite 3.35), MODIFY COLUMN, or ADD CONSTRAINT after table creation. Schema changes require the table-rebuild pattern (create new table → copy data → drop old → rename). The team must get the schema right before loading data.</w:t>
      </w:r>
    </w:p>
    <w:p>
      <w:pPr>
        <w:spacing w:after="80" w:before="80"/>
      </w:pPr>
    </w:p>
    <w:p>
      <w:pPr>
        <w:pStyle w:val="Heading2"/>
        <w:spacing w:after="100" w:before="220"/>
      </w:pPr>
      <w:r>
        <w:rPr>
          <w:rFonts w:ascii="Arial" w:cs="Arial" w:eastAsia="Arial" w:hAnsi="Arial"/>
          <w:b/>
          <w:bCs/>
          <w:color w:val="2E75B6"/>
          <w:sz w:val="26"/>
          <w:szCs w:val="26"/>
        </w:rPr>
        <w:t xml:space="preserve">5.6  No Native Network Access</w:t>
      </w:r>
    </w:p>
    <w:p>
      <w:pPr>
        <w:spacing w:after="60" w:before="60"/>
        <w:jc w:val="left"/>
      </w:pPr>
      <w:r>
        <w:rPr>
          <w:rFonts w:ascii="Arial" w:cs="Arial" w:eastAsia="Arial" w:hAnsi="Arial"/>
          <w:b w:val="false"/>
          <w:bCs w:val="false"/>
          <w:i w:val="false"/>
          <w:iCs w:val="false"/>
          <w:color w:val="000000"/>
          <w:sz w:val="20"/>
          <w:szCs w:val="20"/>
        </w:rPr>
        <w:t xml:space="preserve">SQLite is a file-based engine. It cannot be accessed over a network connection. The database file must reside on the local machine or a locally-mounted filesystem. NFS or SMB-mounted SQLite files are unreliable and not supported.</w:t>
      </w:r>
    </w:p>
    <w:p>
      <w:pPr>
        <w:spacing w:after="80" w:before="80"/>
      </w:pPr>
    </w:p>
    <w:p>
      <w:pPr>
        <w:pStyle w:val="Heading2"/>
        <w:spacing w:after="100" w:before="220"/>
      </w:pPr>
      <w:r>
        <w:rPr>
          <w:rFonts w:ascii="Arial" w:cs="Arial" w:eastAsia="Arial" w:hAnsi="Arial"/>
          <w:b/>
          <w:bCs/>
          <w:color w:val="2E75B6"/>
          <w:sz w:val="26"/>
          <w:szCs w:val="26"/>
        </w:rPr>
        <w:t xml:space="preserve">5.7  Concurrent Schema Changes</w:t>
      </w:r>
    </w:p>
    <w:p>
      <w:pPr>
        <w:spacing w:after="60" w:before="60"/>
        <w:jc w:val="left"/>
      </w:pPr>
      <w:r>
        <w:rPr>
          <w:rFonts w:ascii="Arial" w:cs="Arial" w:eastAsia="Arial" w:hAnsi="Arial"/>
          <w:b w:val="false"/>
          <w:bCs w:val="false"/>
          <w:i w:val="false"/>
          <w:iCs w:val="false"/>
          <w:color w:val="000000"/>
          <w:sz w:val="20"/>
          <w:szCs w:val="20"/>
        </w:rPr>
        <w:t xml:space="preserve">Running DDL (CREATE TABLE, CREATE INDEX) while other connections exist is safe in WAL mode but requires exclusive locking. Phase 1 database population should be completed as a controlled operation before Phase 2 agent development begins.</w:t>
      </w:r>
    </w:p>
    <w:p>
      <w:pPr>
        <w:spacing w:after="80" w:before="80"/>
      </w:pPr>
    </w:p>
    <w:p>
      <w:pPr>
        <w:pStyle w:val="Heading1"/>
        <w:pBdr>
          <w:bottom w:val="single" w:color="2E75B6" w:sz="8" w:space="4"/>
        </w:pBdr>
        <w:spacing w:after="120" w:before="280"/>
      </w:pPr>
      <w:r>
        <w:rPr>
          <w:rFonts w:ascii="Arial" w:cs="Arial" w:eastAsia="Arial" w:hAnsi="Arial"/>
          <w:b/>
          <w:bCs/>
          <w:color w:val="1F3864"/>
          <w:sz w:val="32"/>
          <w:szCs w:val="32"/>
        </w:rPr>
        <w:t xml:space="preserve">6. Required Documentation Updates</w:t>
      </w:r>
    </w:p>
    <w:p>
      <w:pPr>
        <w:spacing w:after="60" w:before="60"/>
        <w:jc w:val="left"/>
      </w:pPr>
      <w:r>
        <w:rPr>
          <w:rFonts w:ascii="Arial" w:cs="Arial" w:eastAsia="Arial" w:hAnsi="Arial"/>
          <w:b w:val="false"/>
          <w:bCs w:val="false"/>
          <w:i w:val="false"/>
          <w:iCs w:val="false"/>
          <w:color w:val="000000"/>
          <w:sz w:val="20"/>
          <w:szCs w:val="20"/>
        </w:rPr>
        <w:t xml:space="preserve">The following documents contain PostgreSQL references that must be updated to reflect the SQLite Phase 5 decision. All updates are additive — no engineering rules, field definitions, or governance logic is removed or changed.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600"/>
        <w:gridCol w:w="1760"/>
      </w:tblGrid>
      <w:tr>
        <w:tc>
          <w:tcPr>
            <w:tcW w:type="dxa" w:w="1800"/>
            <w:gridSpan w:val="1"/>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Document</w:t>
            </w:r>
          </w:p>
        </w:tc>
        <w:tc>
          <w:tcPr>
            <w:tcW w:type="dxa" w:w="2200"/>
            <w:gridSpan w:val="1"/>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Location of PostgreSQL Reference</w:t>
            </w:r>
          </w:p>
        </w:tc>
        <w:tc>
          <w:tcPr>
            <w:tcW w:type="dxa" w:w="3600"/>
            <w:gridSpan w:val="1"/>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Required Update Action</w:t>
            </w:r>
          </w:p>
        </w:tc>
        <w:tc>
          <w:tcPr>
            <w:tcW w:type="dxa" w:w="1760"/>
            <w:gridSpan w:val="1"/>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Priority</w:t>
            </w:r>
          </w:p>
        </w:tc>
      </w:tr>
      <w:tr>
        <w:tc>
          <w:tcPr>
            <w:tcW w:type="dxa" w:w="18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README.md</w:t>
            </w:r>
          </w:p>
        </w:tc>
        <w:tc>
          <w:tcPr>
            <w:tcW w:type="dxa" w:w="220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iCs/>
                <w:color w:val="000000"/>
                <w:sz w:val="18"/>
                <w:szCs w:val="18"/>
              </w:rPr>
              <w:t xml:space="preserve">Technology Stack table — "PostgreSQL" in row 1</w:t>
            </w:r>
          </w:p>
        </w:tc>
        <w:tc>
          <w:tcPr>
            <w:tcW w:type="dxa" w:w="360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Change to: "SQLite (Phase 5 desktop) | PostgreSQL (Phase 6+ multi-user — deferred)"</w:t>
            </w:r>
          </w:p>
        </w:tc>
        <w:tc>
          <w:tcPr>
            <w:tcW w:type="dxa" w:w="17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bCs/>
                <w:i w:val="false"/>
                <w:iCs w:val="false"/>
                <w:color w:val="C00000"/>
                <w:sz w:val="18"/>
                <w:szCs w:val="18"/>
              </w:rPr>
              <w:t xml:space="preserve">HIGH — read first by all developers</w:t>
            </w:r>
          </w:p>
        </w:tc>
      </w:tr>
      <w:tr>
        <w:tc>
          <w:tcPr>
            <w:tcW w:type="dxa" w:w="18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README.md</w:t>
            </w:r>
          </w:p>
        </w:tc>
        <w:tc>
          <w:tcPr>
            <w:tcW w:type="dxa" w:w="22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iCs/>
                <w:color w:val="000000"/>
                <w:sz w:val="18"/>
                <w:szCs w:val="18"/>
              </w:rPr>
              <w:t xml:space="preserve">Database Structure section — "PostgreSQL Tables" heading</w:t>
            </w:r>
          </w:p>
        </w:tc>
        <w:tc>
          <w:tcPr>
            <w:tcW w:type="dxa" w:w="36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Change heading to: "Database Tables (SQLite — Phase 5)" and add note: "Migrates to PostgreSQL at Phase 6"</w:t>
            </w:r>
          </w:p>
        </w:tc>
        <w:tc>
          <w:tcPr>
            <w:tcW w:type="dxa" w:w="17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C00000"/>
                <w:sz w:val="18"/>
                <w:szCs w:val="18"/>
              </w:rPr>
              <w:t xml:space="preserve">HIGH</w:t>
            </w:r>
          </w:p>
        </w:tc>
      </w:tr>
      <w:tr>
        <w:tc>
          <w:tcPr>
            <w:tcW w:type="dxa" w:w="18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README.md</w:t>
            </w:r>
          </w:p>
        </w:tc>
        <w:tc>
          <w:tcPr>
            <w:tcW w:type="dxa" w:w="220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iCs/>
                <w:color w:val="000000"/>
                <w:sz w:val="18"/>
                <w:szCs w:val="18"/>
              </w:rPr>
              <w:t xml:space="preserve">"Set up PostgreSQL with full schema" — Step 1 of Immediate Next Steps</w:t>
            </w:r>
          </w:p>
        </w:tc>
        <w:tc>
          <w:tcPr>
            <w:tcW w:type="dxa" w:w="360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Change to: "Set up SQLite database with TDN-DB-001 PRAGMA configuration. PostgreSQL deferred to Phase 6."</w:t>
            </w:r>
          </w:p>
        </w:tc>
        <w:tc>
          <w:tcPr>
            <w:tcW w:type="dxa" w:w="17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bCs/>
                <w:i w:val="false"/>
                <w:iCs w:val="false"/>
                <w:color w:val="C00000"/>
                <w:sz w:val="18"/>
                <w:szCs w:val="18"/>
              </w:rPr>
              <w:t xml:space="preserve">HIGH</w:t>
            </w:r>
          </w:p>
        </w:tc>
      </w:tr>
      <w:tr>
        <w:tc>
          <w:tcPr>
            <w:tcW w:type="dxa" w:w="18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README.md</w:t>
            </w:r>
          </w:p>
        </w:tc>
        <w:tc>
          <w:tcPr>
            <w:tcW w:type="dxa" w:w="22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iCs/>
                <w:color w:val="000000"/>
                <w:sz w:val="18"/>
                <w:szCs w:val="18"/>
              </w:rPr>
              <w:t xml:space="preserve">ChromaDB reference under Vector DB row</w:t>
            </w:r>
          </w:p>
        </w:tc>
        <w:tc>
          <w:tcPr>
            <w:tcW w:type="dxa" w:w="36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ChromaDB remains local — no change required. Already desktop-first.</w:t>
            </w:r>
          </w:p>
        </w:tc>
        <w:tc>
          <w:tcPr>
            <w:tcW w:type="dxa" w:w="17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595959"/>
                <w:sz w:val="18"/>
                <w:szCs w:val="18"/>
              </w:rPr>
              <w:t xml:space="preserve">No change needed</w:t>
            </w:r>
          </w:p>
        </w:tc>
      </w:tr>
      <w:tr>
        <w:tc>
          <w:tcPr>
            <w:tcW w:type="dxa" w:w="18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PROMPT 1 OUTPUT.xlsx (Baseline Reconciliation)</w:t>
            </w:r>
          </w:p>
        </w:tc>
        <w:tc>
          <w:tcPr>
            <w:tcW w:type="dxa" w:w="220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iCs/>
                <w:color w:val="000000"/>
                <w:sz w:val="18"/>
                <w:szCs w:val="18"/>
              </w:rPr>
              <w:t xml:space="preserve">"PostgreSQL tables" referenced throughout Section 1 and Section 5</w:t>
            </w:r>
          </w:p>
        </w:tc>
        <w:tc>
          <w:tcPr>
            <w:tcW w:type="dxa" w:w="360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Add note in Section 1 and Section 5: "PostgreSQL is the architectural target. Phase 5 implementation uses SQLite per TDN-DB-001. All table counts and schemas remain unchanged."</w:t>
            </w:r>
          </w:p>
        </w:tc>
        <w:tc>
          <w:tcPr>
            <w:tcW w:type="dxa" w:w="17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bCs/>
                <w:i w:val="false"/>
                <w:iCs w:val="false"/>
                <w:color w:val="C00000"/>
                <w:sz w:val="18"/>
                <w:szCs w:val="18"/>
              </w:rPr>
              <w:t xml:space="preserve">HIGH — governs build count</w:t>
            </w:r>
          </w:p>
        </w:tc>
      </w:tr>
      <w:tr>
        <w:tc>
          <w:tcPr>
            <w:tcW w:type="dxa" w:w="18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PROMPT 1 OUTPUT.xlsx</w:t>
            </w:r>
          </w:p>
        </w:tc>
        <w:tc>
          <w:tcPr>
            <w:tcW w:type="dxa" w:w="22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iCs/>
                <w:color w:val="000000"/>
                <w:sz w:val="18"/>
                <w:szCs w:val="18"/>
              </w:rPr>
              <w:t xml:space="preserve">Section 1 row: "POSTGRESQL TABLES (Total Physical) — 57"</w:t>
            </w:r>
          </w:p>
        </w:tc>
        <w:tc>
          <w:tcPr>
            <w:tcW w:type="dxa" w:w="36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Rename to: "DATABASE TABLES (SQLite Phase 5 / PostgreSQL Phase 6) — 57 physical tables." Count unchanged.</w:t>
            </w:r>
          </w:p>
        </w:tc>
        <w:tc>
          <w:tcPr>
            <w:tcW w:type="dxa" w:w="17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C00000"/>
                <w:sz w:val="18"/>
                <w:szCs w:val="18"/>
              </w:rPr>
              <w:t xml:space="preserve">HIGH</w:t>
            </w:r>
          </w:p>
        </w:tc>
      </w:tr>
      <w:tr>
        <w:tc>
          <w:tcPr>
            <w:tcW w:type="dxa" w:w="18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PROMPT 1 OUTPUT.xlsx</w:t>
            </w:r>
          </w:p>
        </w:tc>
        <w:tc>
          <w:tcPr>
            <w:tcW w:type="dxa" w:w="220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iCs/>
                <w:color w:val="000000"/>
                <w:sz w:val="18"/>
                <w:szCs w:val="18"/>
              </w:rPr>
              <w:t xml:space="preserve">Section 5: "IN SCOPE — Build as PostgreSQL Tables"</w:t>
            </w:r>
          </w:p>
        </w:tc>
        <w:tc>
          <w:tcPr>
            <w:tcW w:type="dxa" w:w="360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Change to: "IN SCOPE — Build as SQLite Tables (Phase 5). PostgreSQL target at Phase 6. Schema identical."</w:t>
            </w:r>
          </w:p>
        </w:tc>
        <w:tc>
          <w:tcPr>
            <w:tcW w:type="dxa" w:w="17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bCs/>
                <w:i w:val="false"/>
                <w:iCs w:val="false"/>
                <w:color w:val="C00000"/>
                <w:sz w:val="18"/>
                <w:szCs w:val="18"/>
              </w:rPr>
              <w:t xml:space="preserve">HIGH</w:t>
            </w:r>
          </w:p>
        </w:tc>
      </w:tr>
      <w:tr>
        <w:tc>
          <w:tcPr>
            <w:tcW w:type="dxa" w:w="18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PROMPT3 OUTPUT — Source Mapping</w:t>
            </w:r>
          </w:p>
        </w:tc>
        <w:tc>
          <w:tcPr>
            <w:tcW w:type="dxa" w:w="22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iCs/>
                <w:color w:val="000000"/>
                <w:sz w:val="18"/>
                <w:szCs w:val="18"/>
              </w:rPr>
              <w:t xml:space="preserve">Any references to PostgreSQL-specific query syntax (e.g., ILIKE, SERIAL, RETURNING)</w:t>
            </w:r>
          </w:p>
        </w:tc>
        <w:tc>
          <w:tcPr>
            <w:tcW w:type="dxa" w:w="36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Audit all SQL examples. Replace PostgreSQL-specific syntax with SQLite-compatible equivalents. See Section 5 Constraints.</w:t>
            </w:r>
          </w:p>
        </w:tc>
        <w:tc>
          <w:tcPr>
            <w:tcW w:type="dxa" w:w="17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BF8F00"/>
                <w:sz w:val="18"/>
                <w:szCs w:val="18"/>
              </w:rPr>
              <w:t xml:space="preserve">MEDIUM — affects parser code</w:t>
            </w:r>
          </w:p>
        </w:tc>
      </w:tr>
      <w:tr>
        <w:tc>
          <w:tcPr>
            <w:tcW w:type="dxa" w:w="18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PROMPT 4 OUTPUT — Validation Spec</w:t>
            </w:r>
          </w:p>
        </w:tc>
        <w:tc>
          <w:tcPr>
            <w:tcW w:type="dxa" w:w="220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iCs/>
                <w:color w:val="000000"/>
                <w:sz w:val="18"/>
                <w:szCs w:val="18"/>
              </w:rPr>
              <w:t xml:space="preserve">"PostgreSQL" not explicitly named in validation rules — audit logging and override tables</w:t>
            </w:r>
          </w:p>
        </w:tc>
        <w:tc>
          <w:tcPr>
            <w:tcW w:type="dxa" w:w="360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Add single note to Executive Summary: "All validation, override, and audit tables specified herein are implemented in SQLite Phase 5 per TDN-DB-001. All rule logic, severity, and blocking flags are unchanged."</w:t>
            </w:r>
          </w:p>
        </w:tc>
        <w:tc>
          <w:tcPr>
            <w:tcW w:type="dxa" w:w="17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bCs/>
                <w:i w:val="false"/>
                <w:iCs w:val="false"/>
                <w:color w:val="595959"/>
                <w:sz w:val="18"/>
                <w:szCs w:val="18"/>
              </w:rPr>
              <w:t xml:space="preserve">LOW — rules unchanged</w:t>
            </w:r>
          </w:p>
        </w:tc>
      </w:tr>
      <w:tr>
        <w:tc>
          <w:tcPr>
            <w:tcW w:type="dxa" w:w="18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MasterDB v3+ (all sheets)</w:t>
            </w:r>
          </w:p>
        </w:tc>
        <w:tc>
          <w:tcPr>
            <w:tcW w:type="dxa" w:w="22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iCs/>
                <w:color w:val="000000"/>
                <w:sz w:val="18"/>
                <w:szCs w:val="18"/>
              </w:rPr>
              <w:t xml:space="preserve">Module definitions reference PostgreSQL data types (SERIAL, TEXT, TIMESTAMP WITH TIME ZONE, JSONB)</w:t>
            </w:r>
          </w:p>
        </w:tc>
        <w:tc>
          <w:tcPr>
            <w:tcW w:type="dxa" w:w="36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Add mapping note per module: SERIAL → INTEGER PRIMARY KEY AUTOINCREMENT | JSONB → TEXT (JSON stored as text) | TIMESTAMP WITH TIME ZONE → TEXT (ISO 8601) | BOOLEAN → INTEGER (0/1)</w:t>
            </w:r>
          </w:p>
        </w:tc>
        <w:tc>
          <w:tcPr>
            <w:tcW w:type="dxa" w:w="17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C00000"/>
                <w:sz w:val="18"/>
                <w:szCs w:val="18"/>
              </w:rPr>
              <w:t xml:space="preserve">HIGH — affects schema build</w:t>
            </w:r>
          </w:p>
        </w:tc>
      </w:tr>
      <w:tr>
        <w:tc>
          <w:tcPr>
            <w:tcW w:type="dxa" w:w="18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MasterDB v3+ — Index Registry</w:t>
            </w:r>
          </w:p>
        </w:tc>
        <w:tc>
          <w:tcPr>
            <w:tcW w:type="dxa" w:w="220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iCs/>
                <w:color w:val="000000"/>
                <w:sz w:val="18"/>
                <w:szCs w:val="18"/>
              </w:rPr>
              <w:t xml:space="preserve">24 PostgreSQL indexes (IDX-001 to IDX-024)</w:t>
            </w:r>
          </w:p>
        </w:tc>
        <w:tc>
          <w:tcPr>
            <w:tcW w:type="dxa" w:w="360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All 24 indexes are valid in SQLite. Syntax change only: no CREATE INDEX CONCURRENTLY — use standard CREATE INDEX. Note in registry.</w:t>
            </w:r>
          </w:p>
        </w:tc>
        <w:tc>
          <w:tcPr>
            <w:tcW w:type="dxa" w:w="17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bCs/>
                <w:i w:val="false"/>
                <w:iCs w:val="false"/>
                <w:color w:val="BF8F00"/>
                <w:sz w:val="18"/>
                <w:szCs w:val="18"/>
              </w:rPr>
              <w:t xml:space="preserve">MEDIUM</w:t>
            </w:r>
          </w:p>
        </w:tc>
      </w:tr>
      <w:tr>
        <w:tc>
          <w:tcPr>
            <w:tcW w:type="dxa" w:w="18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MasterDB v3+ — audit_log_requirement_master (M-31)</w:t>
            </w:r>
          </w:p>
        </w:tc>
        <w:tc>
          <w:tcPr>
            <w:tcW w:type="dxa" w:w="22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iCs/>
                <w:color w:val="000000"/>
                <w:sz w:val="18"/>
                <w:szCs w:val="18"/>
              </w:rPr>
              <w:t xml:space="preserve">Audit log schema assumes JSONB or array types</w:t>
            </w:r>
          </w:p>
        </w:tc>
        <w:tc>
          <w:tcPr>
            <w:tcW w:type="dxa" w:w="36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Store audit attributes as JSON text in SQLite TEXT columns. Application layer serialises/deserialises. No schema change to 10 mandatory attributes.</w:t>
            </w:r>
          </w:p>
        </w:tc>
        <w:tc>
          <w:tcPr>
            <w:tcW w:type="dxa" w:w="17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C00000"/>
                <w:sz w:val="18"/>
                <w:szCs w:val="18"/>
              </w:rPr>
              <w:t xml:space="preserve">HIGH — audit integrity</w:t>
            </w:r>
          </w:p>
        </w:tc>
      </w:tr>
      <w:tr>
        <w:tc>
          <w:tcPr>
            <w:tcW w:type="dxa" w:w="18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IT Team Build Checklist</w:t>
            </w:r>
          </w:p>
        </w:tc>
        <w:tc>
          <w:tcPr>
            <w:tcW w:type="dxa" w:w="220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iCs/>
                <w:color w:val="000000"/>
                <w:sz w:val="18"/>
                <w:szCs w:val="18"/>
              </w:rPr>
              <w:t xml:space="preserve">"Install PostgreSQL" as Step 1</w:t>
            </w:r>
          </w:p>
        </w:tc>
        <w:tc>
          <w:tcPr>
            <w:tcW w:type="dxa" w:w="360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Replace with: "Install SQLite (no server setup required — file-based). Configure per TDN-DB-001 PRAGMA settings." PostgreSQL installation deferred.</w:t>
            </w:r>
          </w:p>
        </w:tc>
        <w:tc>
          <w:tcPr>
            <w:tcW w:type="dxa" w:w="17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bCs/>
                <w:i w:val="false"/>
                <w:iCs w:val="false"/>
                <w:color w:val="C00000"/>
                <w:sz w:val="18"/>
                <w:szCs w:val="18"/>
              </w:rPr>
              <w:t xml:space="preserve">HIGH — first build step</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RULE</w:t>
            </w:r>
          </w:p>
        </w:tc>
        <w:tc>
          <w:tcPr>
            <w:tcW w:type="dxa" w:w="816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r>
              <w:rPr>
                <w:rFonts w:ascii="Arial" w:cs="Arial" w:eastAsia="Arial" w:hAnsi="Arial"/>
                <w:color w:val="000000"/>
                <w:sz w:val="20"/>
                <w:szCs w:val="20"/>
              </w:rPr>
              <w:t xml:space="preserve">No document update may weaken, remove, or reclassify any validation rule, override status, stage gate, or governing field protection. Updates are limited to database engine references only.</w:t>
            </w:r>
          </w:p>
        </w:tc>
      </w:tr>
    </w:tbl>
    <w:p>
      <w:pPr>
        <w:spacing w:after="80" w:before="80"/>
      </w:pPr>
    </w:p>
    <w:p>
      <w:pPr>
        <w:pStyle w:val="Heading1"/>
        <w:pBdr>
          <w:bottom w:val="single" w:color="2E75B6" w:sz="8" w:space="4"/>
        </w:pBdr>
        <w:spacing w:after="120" w:before="280"/>
      </w:pPr>
      <w:r>
        <w:rPr>
          <w:rFonts w:ascii="Arial" w:cs="Arial" w:eastAsia="Arial" w:hAnsi="Arial"/>
          <w:b/>
          <w:bCs/>
          <w:color w:val="1F3864"/>
          <w:sz w:val="32"/>
          <w:szCs w:val="32"/>
        </w:rPr>
        <w:t xml:space="preserve">6A. Required SQLite PRAGMA Configuration</w:t>
      </w:r>
    </w:p>
    <w:p>
      <w:pPr>
        <w:spacing w:after="60" w:before="60"/>
        <w:jc w:val="left"/>
      </w:pPr>
      <w:r>
        <w:rPr>
          <w:rFonts w:ascii="Arial" w:cs="Arial" w:eastAsia="Arial" w:hAnsi="Arial"/>
          <w:b w:val="false"/>
          <w:bCs w:val="false"/>
          <w:i w:val="false"/>
          <w:iCs w:val="false"/>
          <w:color w:val="000000"/>
          <w:sz w:val="20"/>
          <w:szCs w:val="20"/>
        </w:rPr>
        <w:t xml:space="preserve">The following PRAGMA settings are mandatory for all Phase 5 SQLite deployments. They must be applied on every database connection at startup. These settings are not persistent — they reset when the connection closes.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gridSpan w:val="1"/>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PRAGMA / Setting</w:t>
            </w:r>
          </w:p>
        </w:tc>
        <w:tc>
          <w:tcPr>
            <w:tcW w:type="dxa" w:w="1800"/>
            <w:gridSpan w:val="1"/>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Purpose</w:t>
            </w:r>
          </w:p>
        </w:tc>
        <w:tc>
          <w:tcPr>
            <w:tcW w:type="dxa" w:w="5160"/>
            <w:gridSpan w:val="1"/>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Implementation Note</w:t>
            </w:r>
          </w:p>
        </w:tc>
      </w:tr>
      <w:tr>
        <w:tc>
          <w:tcPr>
            <w:tcW w:type="dxa" w:w="2400"/>
            <w:gridSpan w:val="1"/>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6"/>
                <w:szCs w:val="16"/>
              </w:rPr>
              <w:t xml:space="preserve">PRAGMA journal_mode = WAL;</w:t>
            </w:r>
          </w:p>
        </w:tc>
        <w:tc>
          <w:tcPr>
            <w:tcW w:type="dxa" w:w="180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WAL Mode</w:t>
            </w:r>
          </w:p>
        </w:tc>
        <w:tc>
          <w:tcPr>
            <w:tcW w:type="dxa" w:w="51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Enables Write-Ahead Logging — allows concurrent reads during writes. Required for desktop multi-tab usage with FastAPI + Celery workers.</w:t>
            </w:r>
          </w:p>
        </w:tc>
      </w:tr>
      <w:tr>
        <w:tc>
          <w:tcPr>
            <w:tcW w:type="dxa" w:w="24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6"/>
                <w:szCs w:val="16"/>
              </w:rPr>
              <w:t xml:space="preserve">PRAGMA synchronous = FULL;</w:t>
            </w:r>
          </w:p>
        </w:tc>
        <w:tc>
          <w:tcPr>
            <w:tcW w:type="dxa" w:w="18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Synchronous Write</w:t>
            </w:r>
          </w:p>
        </w:tc>
        <w:tc>
          <w:tcPr>
            <w:tcW w:type="dxa" w:w="51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Ensures all writes are flushed to disk before confirmation. Prevents data loss on power failure or crash. Non-negotiable for audit log integrity.</w:t>
            </w:r>
          </w:p>
        </w:tc>
      </w:tr>
      <w:tr>
        <w:tc>
          <w:tcPr>
            <w:tcW w:type="dxa" w:w="2400"/>
            <w:gridSpan w:val="1"/>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6"/>
                <w:szCs w:val="16"/>
              </w:rPr>
              <w:t xml:space="preserve">PRAGMA foreign_keys = ON;</w:t>
            </w:r>
          </w:p>
        </w:tc>
        <w:tc>
          <w:tcPr>
            <w:tcW w:type="dxa" w:w="180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Foreign Key Enforcement</w:t>
            </w:r>
          </w:p>
        </w:tc>
        <w:tc>
          <w:tcPr>
            <w:tcW w:type="dxa" w:w="51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Enforces referential integrity across all 57 tables. Must be set on every new connection — SQLite does not persist this setting.</w:t>
            </w:r>
          </w:p>
        </w:tc>
      </w:tr>
      <w:tr>
        <w:tc>
          <w:tcPr>
            <w:tcW w:type="dxa" w:w="24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6"/>
                <w:szCs w:val="16"/>
              </w:rPr>
              <w:t xml:space="preserve">PRAGMA integrity_check;</w:t>
            </w:r>
          </w:p>
        </w:tc>
        <w:tc>
          <w:tcPr>
            <w:tcW w:type="dxa" w:w="18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File Integrity Check</w:t>
            </w:r>
          </w:p>
        </w:tc>
        <w:tc>
          <w:tcPr>
            <w:tcW w:type="dxa" w:w="51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Run at application startup and after any Celery job completion. Detects page corruption. If non-"ok" result: halt and alert engineer.</w:t>
            </w:r>
          </w:p>
        </w:tc>
      </w:tr>
      <w:tr>
        <w:tc>
          <w:tcPr>
            <w:tcW w:type="dxa" w:w="2400"/>
            <w:gridSpan w:val="1"/>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6"/>
                <w:szCs w:val="16"/>
              </w:rPr>
              <w:t xml:space="preserve">PRAGMA busy_timeout = 5000;</w:t>
            </w:r>
          </w:p>
        </w:tc>
        <w:tc>
          <w:tcPr>
            <w:tcW w:type="dxa" w:w="180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Lock Timeout</w:t>
            </w:r>
          </w:p>
        </w:tc>
        <w:tc>
          <w:tcPr>
            <w:tcW w:type="dxa" w:w="51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Sets 5-second wait on write lock contention before returning SQLITE_BUSY error. Prevents silent lock failures from Celery workers.</w:t>
            </w:r>
          </w:p>
        </w:tc>
      </w:tr>
      <w:tr>
        <w:tc>
          <w:tcPr>
            <w:tcW w:type="dxa" w:w="24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6"/>
                <w:szCs w:val="16"/>
              </w:rPr>
              <w:t xml:space="preserve">PRAGMA cache_size = -65536;</w:t>
            </w:r>
          </w:p>
        </w:tc>
        <w:tc>
          <w:tcPr>
            <w:tcW w:type="dxa" w:w="18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Cache Size</w:t>
            </w:r>
          </w:p>
        </w:tc>
        <w:tc>
          <w:tcPr>
            <w:tcW w:type="dxa" w:w="51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Sets 64 MB page cache. Improves read performance for field_dictionary_master and validation_rule_master lookups across 196 fields / 293 rules.</w:t>
            </w:r>
          </w:p>
        </w:tc>
      </w:tr>
      <w:tr>
        <w:tc>
          <w:tcPr>
            <w:tcW w:type="dxa" w:w="2400"/>
            <w:gridSpan w:val="1"/>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6"/>
                <w:szCs w:val="16"/>
              </w:rPr>
              <w:t xml:space="preserve">PRAGMA temp_store = MEMORY;</w:t>
            </w:r>
          </w:p>
        </w:tc>
        <w:tc>
          <w:tcPr>
            <w:tcW w:type="dxa" w:w="180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Temp Storage</w:t>
            </w:r>
          </w:p>
        </w:tc>
        <w:tc>
          <w:tcPr>
            <w:tcW w:type="dxa" w:w="51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Stores temporary tables and indexes in memory rather than on disk. Improves performance for large JOIN operations during geometry reconciliation.</w:t>
            </w:r>
          </w:p>
        </w:tc>
      </w:tr>
      <w:tr>
        <w:tc>
          <w:tcPr>
            <w:tcW w:type="dxa" w:w="24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6"/>
                <w:szCs w:val="16"/>
              </w:rPr>
              <w:t xml:space="preserve">PRAGMA wal_autocheckpoint = 1000;</w:t>
            </w:r>
          </w:p>
        </w:tc>
        <w:tc>
          <w:tcPr>
            <w:tcW w:type="dxa" w:w="18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WAL Checkpoint</w:t>
            </w:r>
          </w:p>
        </w:tc>
        <w:tc>
          <w:tcPr>
            <w:tcW w:type="dxa" w:w="51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Auto-checkpoint WAL file every 1,000 pages. Prevents unbounded WAL growth on long-running projects. Manual checkpoint also available via PRAGMA wal_checkpoint(FULL).</w:t>
            </w:r>
          </w:p>
        </w:tc>
      </w:tr>
      <w:tr>
        <w:tc>
          <w:tcPr>
            <w:tcW w:type="dxa" w:w="2400"/>
            <w:gridSpan w:val="1"/>
            <w:tcBorders>
              <w:top w:val="single" w:color="BFBFBF" w:sz="4"/>
              <w:left w:val="single" w:color="BFBFBF" w:sz="4"/>
              <w:bottom w:val="single" w:color="BFBFBF" w:sz="4"/>
              <w:right w:val="single" w:color="BFBFBF" w:sz="4"/>
            </w:tcBorders>
            <w:shd w:fill="EBF3FB"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6"/>
                <w:szCs w:val="16"/>
              </w:rPr>
              <w:t xml:space="preserve">PRAGMA page_size = 4096;</w:t>
            </w:r>
          </w:p>
        </w:tc>
        <w:tc>
          <w:tcPr>
            <w:tcW w:type="dxa" w:w="180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Page Size</w:t>
            </w:r>
          </w:p>
        </w:tc>
        <w:tc>
          <w:tcPr>
            <w:tcW w:type="dxa" w:w="51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Set before first write only (must precede any table creation). 4KB pages align with most OS filesystem block sizes for optimal I/O.</w:t>
            </w:r>
          </w:p>
        </w:tc>
      </w:tr>
    </w:tbl>
    <w:p>
      <w:pPr>
        <w:spacing w:after="80" w:before="80"/>
      </w:pPr>
    </w:p>
    <w:p>
      <w:pPr>
        <w:pStyle w:val="Heading2"/>
        <w:spacing w:after="100" w:before="220"/>
      </w:pPr>
      <w:r>
        <w:rPr>
          <w:rFonts w:ascii="Arial" w:cs="Arial" w:eastAsia="Arial" w:hAnsi="Arial"/>
          <w:b/>
          <w:bCs/>
          <w:color w:val="2E75B6"/>
          <w:sz w:val="26"/>
          <w:szCs w:val="26"/>
        </w:rPr>
        <w:t xml:space="preserve">6A.1  Connection Initialisation Code Pattern</w:t>
      </w:r>
    </w:p>
    <w:p>
      <w:pPr>
        <w:spacing w:after="60" w:before="60"/>
        <w:jc w:val="left"/>
      </w:pPr>
      <w:r>
        <w:rPr>
          <w:rFonts w:ascii="Arial" w:cs="Arial" w:eastAsia="Arial" w:hAnsi="Arial"/>
          <w:b w:val="false"/>
          <w:bCs w:val="false"/>
          <w:i w:val="false"/>
          <w:iCs w:val="false"/>
          <w:color w:val="000000"/>
          <w:sz w:val="20"/>
          <w:szCs w:val="20"/>
        </w:rPr>
        <w:t xml:space="preserve">All database connections in the FastAPI application, Celery workers, and agent code must use the following initialisation pattern: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08080" w:sz="4"/>
              <w:left w:val="single" w:color="808080" w:sz="4"/>
              <w:bottom w:val="single" w:color="808080" w:sz="4"/>
              <w:right w:val="single" w:color="808080" w:sz="4"/>
            </w:tcBorders>
            <w:shd w:fill="F2F2F2" w:val="clear"/>
            <w:tcMar>
              <w:top w:type="dxa" w:w="120"/>
              <w:left w:type="dxa" w:w="200"/>
              <w:bottom w:type="dxa" w:w="120"/>
              <w:right w:type="dxa" w:w="200"/>
            </w:tcMar>
          </w:tcPr>
          <w:p>
            <w:pPr>
              <w:spacing w:after="60" w:before="60"/>
              <w:jc w:val="left"/>
            </w:pPr>
            <w:r>
              <w:rPr>
                <w:rFonts w:ascii="Arial" w:cs="Arial" w:eastAsia="Arial" w:hAnsi="Arial"/>
                <w:b w:val="false"/>
                <w:bCs w:val="false"/>
                <w:i w:val="false"/>
                <w:iCs w:val="false"/>
                <w:color w:val="267F99"/>
                <w:sz w:val="18"/>
                <w:szCs w:val="18"/>
              </w:rPr>
              <w:t xml:space="preserve"># Required on EVERY new SQLite connection</w:t>
            </w:r>
          </w:p>
          <w:p>
            <w:pPr>
              <w:spacing w:after="60" w:before="60"/>
              <w:jc w:val="left"/>
            </w:pPr>
            <w:r>
              <w:rPr>
                <w:rFonts w:ascii="Arial" w:cs="Arial" w:eastAsia="Arial" w:hAnsi="Arial"/>
                <w:b w:val="false"/>
                <w:bCs w:val="false"/>
                <w:i w:val="false"/>
                <w:iCs w:val="false"/>
                <w:color w:val="1F3864"/>
                <w:sz w:val="18"/>
                <w:szCs w:val="18"/>
              </w:rPr>
              <w:t xml:space="preserve">def init_connection(conn):</w:t>
            </w:r>
          </w:p>
          <w:p>
            <w:pPr>
              <w:spacing w:after="60" w:before="60"/>
              <w:jc w:val="left"/>
            </w:pPr>
            <w:r>
              <w:rPr>
                <w:rFonts w:ascii="Arial" w:cs="Arial" w:eastAsia="Arial" w:hAnsi="Arial"/>
                <w:b w:val="false"/>
                <w:bCs w:val="false"/>
                <w:i w:val="false"/>
                <w:iCs w:val="false"/>
                <w:color w:val="000000"/>
                <w:sz w:val="18"/>
                <w:szCs w:val="18"/>
              </w:rPr>
              <w:t xml:space="preserve">    conn.execute("PRAGMA journal_mode = WAL;")</w:t>
            </w:r>
          </w:p>
          <w:p>
            <w:pPr>
              <w:spacing w:after="60" w:before="60"/>
              <w:jc w:val="left"/>
            </w:pPr>
            <w:r>
              <w:rPr>
                <w:rFonts w:ascii="Arial" w:cs="Arial" w:eastAsia="Arial" w:hAnsi="Arial"/>
                <w:b w:val="false"/>
                <w:bCs w:val="false"/>
                <w:i w:val="false"/>
                <w:iCs w:val="false"/>
                <w:color w:val="000000"/>
                <w:sz w:val="18"/>
                <w:szCs w:val="18"/>
              </w:rPr>
              <w:t xml:space="preserve">    conn.execute("PRAGMA synchronous = FULL;")</w:t>
            </w:r>
          </w:p>
          <w:p>
            <w:pPr>
              <w:spacing w:after="60" w:before="60"/>
              <w:jc w:val="left"/>
            </w:pPr>
            <w:r>
              <w:rPr>
                <w:rFonts w:ascii="Arial" w:cs="Arial" w:eastAsia="Arial" w:hAnsi="Arial"/>
                <w:b w:val="false"/>
                <w:bCs w:val="false"/>
                <w:i w:val="false"/>
                <w:iCs w:val="false"/>
                <w:color w:val="000000"/>
                <w:sz w:val="18"/>
                <w:szCs w:val="18"/>
              </w:rPr>
              <w:t xml:space="preserve">    conn.execute("PRAGMA foreign_keys = ON;")</w:t>
            </w:r>
          </w:p>
          <w:p>
            <w:pPr>
              <w:spacing w:after="60" w:before="60"/>
              <w:jc w:val="left"/>
            </w:pPr>
            <w:r>
              <w:rPr>
                <w:rFonts w:ascii="Arial" w:cs="Arial" w:eastAsia="Arial" w:hAnsi="Arial"/>
                <w:b w:val="false"/>
                <w:bCs w:val="false"/>
                <w:i w:val="false"/>
                <w:iCs w:val="false"/>
                <w:color w:val="000000"/>
                <w:sz w:val="18"/>
                <w:szCs w:val="18"/>
              </w:rPr>
              <w:t xml:space="preserve">    conn.execute("PRAGMA busy_timeout = 5000;")</w:t>
            </w:r>
          </w:p>
          <w:p>
            <w:pPr>
              <w:spacing w:after="60" w:before="60"/>
              <w:jc w:val="left"/>
            </w:pPr>
            <w:r>
              <w:rPr>
                <w:rFonts w:ascii="Arial" w:cs="Arial" w:eastAsia="Arial" w:hAnsi="Arial"/>
                <w:b w:val="false"/>
                <w:bCs w:val="false"/>
                <w:i w:val="false"/>
                <w:iCs w:val="false"/>
                <w:color w:val="000000"/>
                <w:sz w:val="18"/>
                <w:szCs w:val="18"/>
              </w:rPr>
              <w:t xml:space="preserve">    conn.execute("PRAGMA cache_size = -65536;")</w:t>
            </w:r>
          </w:p>
          <w:p>
            <w:pPr>
              <w:spacing w:after="60" w:before="60"/>
              <w:jc w:val="left"/>
            </w:pPr>
            <w:r>
              <w:rPr>
                <w:rFonts w:ascii="Arial" w:cs="Arial" w:eastAsia="Arial" w:hAnsi="Arial"/>
                <w:b w:val="false"/>
                <w:bCs w:val="false"/>
                <w:i w:val="false"/>
                <w:iCs w:val="false"/>
                <w:color w:val="000000"/>
                <w:sz w:val="18"/>
                <w:szCs w:val="18"/>
              </w:rPr>
              <w:t xml:space="preserve">    conn.execute("PRAGMA temp_store = MEMORY;")</w:t>
            </w:r>
          </w:p>
          <w:p>
            <w:pPr>
              <w:spacing w:after="60" w:before="60"/>
              <w:jc w:val="left"/>
            </w:pPr>
            <w:r>
              <w:rPr>
                <w:rFonts w:ascii="Arial" w:cs="Arial" w:eastAsia="Arial" w:hAnsi="Arial"/>
                <w:b w:val="false"/>
                <w:bCs w:val="false"/>
                <w:i w:val="false"/>
                <w:iCs w:val="false"/>
                <w:color w:val="267F99"/>
                <w:sz w:val="18"/>
                <w:szCs w:val="18"/>
              </w:rPr>
              <w:t xml:space="preserve">    # Run at startup only:</w:t>
            </w:r>
          </w:p>
          <w:p>
            <w:pPr>
              <w:spacing w:after="60" w:before="60"/>
              <w:jc w:val="left"/>
            </w:pPr>
            <w:r>
              <w:rPr>
                <w:rFonts w:ascii="Arial" w:cs="Arial" w:eastAsia="Arial" w:hAnsi="Arial"/>
                <w:b w:val="false"/>
                <w:bCs w:val="false"/>
                <w:i w:val="false"/>
                <w:iCs w:val="false"/>
                <w:color w:val="000000"/>
                <w:sz w:val="18"/>
                <w:szCs w:val="18"/>
              </w:rPr>
              <w:t xml:space="preserve">    conn.execute("PRAGMA integrity_check;")  # Halt if not 'ok'</w:t>
            </w:r>
          </w:p>
        </w:tc>
      </w:tr>
    </w:tbl>
    <w:p>
      <w:pPr>
        <w:spacing w:after="80" w:before="80"/>
      </w:pPr>
    </w:p>
    <w:p>
      <w:pPr>
        <w:pStyle w:val="Heading2"/>
        <w:spacing w:after="100" w:before="220"/>
      </w:pPr>
      <w:r>
        <w:rPr>
          <w:rFonts w:ascii="Arial" w:cs="Arial" w:eastAsia="Arial" w:hAnsi="Arial"/>
          <w:b/>
          <w:bCs/>
          <w:color w:val="2E75B6"/>
          <w:sz w:val="26"/>
          <w:szCs w:val="26"/>
        </w:rPr>
        <w:t xml:space="preserve">6A.2  Backup and 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2E75B6" w:sz="4"/>
              <w:left w:val="single" w:color="2E75B6" w:sz="4"/>
              <w:bottom w:val="single" w:color="2E75B6" w:sz="4"/>
              <w:right w:val="single" w:color="2E75B6" w:sz="4"/>
            </w:tcBorders>
            <w:shd w:fill="2E75B6"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Operation</w:t>
            </w:r>
          </w:p>
        </w:tc>
        <w:tc>
          <w:tcPr>
            <w:tcW w:type="dxa" w:w="6360"/>
            <w:gridSpan w:val="1"/>
            <w:tcBorders>
              <w:top w:val="single" w:color="2E75B6" w:sz="4"/>
              <w:left w:val="single" w:color="2E75B6" w:sz="4"/>
              <w:bottom w:val="single" w:color="2E75B6" w:sz="4"/>
              <w:right w:val="single" w:color="2E75B6" w:sz="4"/>
            </w:tcBorders>
            <w:shd w:fill="2E75B6"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Method</w:t>
            </w:r>
          </w:p>
        </w:tc>
      </w:tr>
      <w:tr>
        <w:tc>
          <w:tcPr>
            <w:tcW w:type="dxa" w:w="30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Daily Backup (Automated)</w:t>
            </w:r>
          </w:p>
        </w:tc>
        <w:tc>
          <w:tcPr>
            <w:tcW w:type="dxa" w:w="63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Use SQLite Online Backup API: sqlite3.connect(db_path).backup(dest_conn). Run daily via Celery beat task. Store to /Project_UUID/Logs/backups/steel_agent_YYYYMMDD.db</w:t>
            </w:r>
          </w:p>
        </w:tc>
      </w:tr>
      <w:tr>
        <w:tc>
          <w:tcPr>
            <w:tcW w:type="dxa" w:w="30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Pre-Operation Backup</w:t>
            </w:r>
          </w:p>
        </w:tc>
        <w:tc>
          <w:tcPr>
            <w:tcW w:type="dxa" w:w="63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Before any Phase 1 bulk load or schema migration: execute file copy of steel_agent.db to steel_agent_PRE_[operation]_YYYYMMDD.db</w:t>
            </w:r>
          </w:p>
        </w:tc>
      </w:tr>
      <w:tr>
        <w:tc>
          <w:tcPr>
            <w:tcW w:type="dxa" w:w="30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Restore</w:t>
            </w:r>
          </w:p>
        </w:tc>
        <w:tc>
          <w:tcPr>
            <w:tcW w:type="dxa" w:w="63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Stop all connections. Replace steel_agent.db with backup file. Restart application. Run PRAGMA integrity_check on restore.</w:t>
            </w:r>
          </w:p>
        </w:tc>
      </w:tr>
      <w:tr>
        <w:tc>
          <w:tcPr>
            <w:tcW w:type="dxa" w:w="30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SQL Dump Export</w:t>
            </w:r>
          </w:p>
        </w:tc>
        <w:tc>
          <w:tcPr>
            <w:tcW w:type="dxa" w:w="63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Monthly: sqlite3 steel_agent.db .dump &gt; steel_agent_YYYYMM.sql. Provides human-readable backup and PostgreSQL migration path.</w:t>
            </w:r>
          </w:p>
        </w:tc>
      </w:tr>
      <w:tr>
        <w:tc>
          <w:tcPr>
            <w:tcW w:type="dxa" w:w="30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Audit Log Archiving</w:t>
            </w:r>
          </w:p>
        </w:tc>
        <w:tc>
          <w:tcPr>
            <w:tcW w:type="dxa" w:w="63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When audit_log table exceeds 500,000 rows: export old rows to steel_agent_audit_archive_YYYY.db and delete from main DB. Preserve all rows — no audit data is ever destroyed.</w:t>
            </w:r>
          </w:p>
        </w:tc>
      </w:tr>
    </w:tbl>
    <w:p>
      <w:pPr>
        <w:spacing w:after="80" w:before="80"/>
      </w:pPr>
    </w:p>
    <w:p>
      <w:pPr>
        <w:pStyle w:val="Heading1"/>
        <w:pBdr>
          <w:bottom w:val="single" w:color="2E75B6" w:sz="8" w:space="4"/>
        </w:pBdr>
        <w:spacing w:after="120" w:before="280"/>
      </w:pPr>
      <w:r>
        <w:rPr>
          <w:rFonts w:ascii="Arial" w:cs="Arial" w:eastAsia="Arial" w:hAnsi="Arial"/>
          <w:b/>
          <w:bCs/>
          <w:color w:val="1F3864"/>
          <w:sz w:val="32"/>
          <w:szCs w:val="32"/>
        </w:rPr>
        <w:t xml:space="preserve">7. Migration Trigger Conditions</w:t>
      </w:r>
    </w:p>
    <w:p>
      <w:pPr>
        <w:spacing w:after="60" w:before="60"/>
        <w:jc w:val="left"/>
      </w:pPr>
      <w:r>
        <w:rPr>
          <w:rFonts w:ascii="Arial" w:cs="Arial" w:eastAsia="Arial" w:hAnsi="Arial"/>
          <w:b w:val="false"/>
          <w:bCs w:val="false"/>
          <w:i w:val="false"/>
          <w:iCs w:val="false"/>
          <w:color w:val="000000"/>
          <w:sz w:val="20"/>
          <w:szCs w:val="20"/>
        </w:rPr>
        <w:t xml:space="preserve">Migration from SQLite to PostgreSQL must be initiated when any of the following conditions is met. Hard triggers require immediate action. Soft triggers require a formal review and decision within 30 days.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4560"/>
        <w:gridCol w:w="2400"/>
      </w:tblGrid>
      <w:tr>
        <w:tc>
          <w:tcPr>
            <w:tcW w:type="dxa" w:w="800"/>
            <w:gridSpan w:val="1"/>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ID</w:t>
            </w:r>
          </w:p>
        </w:tc>
        <w:tc>
          <w:tcPr>
            <w:tcW w:type="dxa" w:w="1600"/>
            <w:gridSpan w:val="1"/>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Trigger Category</w:t>
            </w:r>
          </w:p>
        </w:tc>
        <w:tc>
          <w:tcPr>
            <w:tcW w:type="dxa" w:w="4560"/>
            <w:gridSpan w:val="1"/>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Trigger Condition</w:t>
            </w:r>
          </w:p>
        </w:tc>
        <w:tc>
          <w:tcPr>
            <w:tcW w:type="dxa" w:w="2400"/>
            <w:gridSpan w:val="1"/>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Trigger Type</w:t>
            </w:r>
          </w:p>
        </w:tc>
      </w:tr>
      <w:tr>
        <w:tc>
          <w:tcPr>
            <w:tcW w:type="dxa" w:w="8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center"/>
            </w:pPr>
            <w:r>
              <w:rPr>
                <w:rFonts w:ascii="Arial" w:cs="Arial" w:eastAsia="Arial" w:hAnsi="Arial"/>
                <w:b/>
                <w:bCs/>
                <w:i w:val="false"/>
                <w:iCs w:val="false"/>
                <w:color w:val="000000"/>
                <w:sz w:val="18"/>
                <w:szCs w:val="18"/>
              </w:rPr>
              <w:t xml:space="preserve">MT-01</w:t>
            </w:r>
          </w:p>
        </w:tc>
        <w:tc>
          <w:tcPr>
            <w:tcW w:type="dxa" w:w="16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Concurrent Users</w:t>
            </w:r>
          </w:p>
        </w:tc>
        <w:tc>
          <w:tcPr>
            <w:tcW w:type="dxa" w:w="45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System deployed to 3+ simultaneous users accessing the same project database</w:t>
            </w:r>
          </w:p>
        </w:tc>
        <w:tc>
          <w:tcPr>
            <w:tcW w:type="dxa" w:w="240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bCs/>
                <w:i w:val="false"/>
                <w:iCs w:val="false"/>
                <w:color w:val="C00000"/>
                <w:sz w:val="18"/>
                <w:szCs w:val="18"/>
              </w:rPr>
              <w:t xml:space="preserve">HARD TRIGGER — migrate immediately</w:t>
            </w:r>
          </w:p>
        </w:tc>
      </w:tr>
      <w:tr>
        <w:tc>
          <w:tcPr>
            <w:tcW w:type="dxa" w:w="8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Arial" w:cs="Arial" w:eastAsia="Arial" w:hAnsi="Arial"/>
                <w:b/>
                <w:bCs/>
                <w:i w:val="false"/>
                <w:iCs w:val="false"/>
                <w:color w:val="000000"/>
                <w:sz w:val="18"/>
                <w:szCs w:val="18"/>
              </w:rPr>
              <w:t xml:space="preserve">MT-02</w:t>
            </w:r>
          </w:p>
        </w:tc>
        <w:tc>
          <w:tcPr>
            <w:tcW w:type="dxa" w:w="16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Write Contention</w:t>
            </w:r>
          </w:p>
        </w:tc>
        <w:tc>
          <w:tcPr>
            <w:tcW w:type="dxa" w:w="45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SQLite SQLITE_BUSY errors exceed 10 per project session under normal usage</w:t>
            </w:r>
          </w:p>
        </w:tc>
        <w:tc>
          <w:tcPr>
            <w:tcW w:type="dxa" w:w="24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C00000"/>
                <w:sz w:val="18"/>
                <w:szCs w:val="18"/>
              </w:rPr>
              <w:t xml:space="preserve">HARD TRIGGER — migrate immediately</w:t>
            </w:r>
          </w:p>
        </w:tc>
      </w:tr>
      <w:tr>
        <w:tc>
          <w:tcPr>
            <w:tcW w:type="dxa" w:w="8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center"/>
            </w:pPr>
            <w:r>
              <w:rPr>
                <w:rFonts w:ascii="Arial" w:cs="Arial" w:eastAsia="Arial" w:hAnsi="Arial"/>
                <w:b/>
                <w:bCs/>
                <w:i w:val="false"/>
                <w:iCs w:val="false"/>
                <w:color w:val="000000"/>
                <w:sz w:val="18"/>
                <w:szCs w:val="18"/>
              </w:rPr>
              <w:t xml:space="preserve">MT-03</w:t>
            </w:r>
          </w:p>
        </w:tc>
        <w:tc>
          <w:tcPr>
            <w:tcW w:type="dxa" w:w="16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Database File Size</w:t>
            </w:r>
          </w:p>
        </w:tc>
        <w:tc>
          <w:tcPr>
            <w:tcW w:type="dxa" w:w="45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Any single project SQLite file exceeds 5 GB</w:t>
            </w:r>
          </w:p>
        </w:tc>
        <w:tc>
          <w:tcPr>
            <w:tcW w:type="dxa" w:w="240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bCs/>
                <w:i w:val="false"/>
                <w:iCs w:val="false"/>
                <w:color w:val="C00000"/>
                <w:sz w:val="18"/>
                <w:szCs w:val="18"/>
              </w:rPr>
              <w:t xml:space="preserve">HARD TRIGGER — performance will degrade</w:t>
            </w:r>
          </w:p>
        </w:tc>
      </w:tr>
      <w:tr>
        <w:tc>
          <w:tcPr>
            <w:tcW w:type="dxa" w:w="8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Arial" w:cs="Arial" w:eastAsia="Arial" w:hAnsi="Arial"/>
                <w:b/>
                <w:bCs/>
                <w:i w:val="false"/>
                <w:iCs w:val="false"/>
                <w:color w:val="000000"/>
                <w:sz w:val="18"/>
                <w:szCs w:val="18"/>
              </w:rPr>
              <w:t xml:space="preserve">MT-04</w:t>
            </w:r>
          </w:p>
        </w:tc>
        <w:tc>
          <w:tcPr>
            <w:tcW w:type="dxa" w:w="16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Network / Server Deployment</w:t>
            </w:r>
          </w:p>
        </w:tc>
        <w:tc>
          <w:tcPr>
            <w:tcW w:type="dxa" w:w="45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System moves from local desktop to server, NAS, or cloud-hosted environment</w:t>
            </w:r>
          </w:p>
        </w:tc>
        <w:tc>
          <w:tcPr>
            <w:tcW w:type="dxa" w:w="24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C00000"/>
                <w:sz w:val="18"/>
                <w:szCs w:val="18"/>
              </w:rPr>
              <w:t xml:space="preserve">HARD TRIGGER — SQLite not suitable for network use</w:t>
            </w:r>
          </w:p>
        </w:tc>
      </w:tr>
      <w:tr>
        <w:tc>
          <w:tcPr>
            <w:tcW w:type="dxa" w:w="8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center"/>
            </w:pPr>
            <w:r>
              <w:rPr>
                <w:rFonts w:ascii="Arial" w:cs="Arial" w:eastAsia="Arial" w:hAnsi="Arial"/>
                <w:b/>
                <w:bCs/>
                <w:i w:val="false"/>
                <w:iCs w:val="false"/>
                <w:color w:val="000000"/>
                <w:sz w:val="18"/>
                <w:szCs w:val="18"/>
              </w:rPr>
              <w:t xml:space="preserve">MT-05</w:t>
            </w:r>
          </w:p>
        </w:tc>
        <w:tc>
          <w:tcPr>
            <w:tcW w:type="dxa" w:w="16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Audit Log Volume</w:t>
            </w:r>
          </w:p>
        </w:tc>
        <w:tc>
          <w:tcPr>
            <w:tcW w:type="dxa" w:w="45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audit_log table exceeds 2 million rows in a single SQLite file</w:t>
            </w:r>
          </w:p>
        </w:tc>
        <w:tc>
          <w:tcPr>
            <w:tcW w:type="dxa" w:w="240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bCs/>
                <w:i w:val="false"/>
                <w:iCs w:val="false"/>
                <w:color w:val="BF8F00"/>
                <w:sz w:val="18"/>
                <w:szCs w:val="18"/>
              </w:rPr>
              <w:t xml:space="preserve">SOFT TRIGGER — consider partitioning strategy or PostgreSQL migration</w:t>
            </w:r>
          </w:p>
        </w:tc>
      </w:tr>
      <w:tr>
        <w:tc>
          <w:tcPr>
            <w:tcW w:type="dxa" w:w="8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Arial" w:cs="Arial" w:eastAsia="Arial" w:hAnsi="Arial"/>
                <w:b/>
                <w:bCs/>
                <w:i w:val="false"/>
                <w:iCs w:val="false"/>
                <w:color w:val="000000"/>
                <w:sz w:val="18"/>
                <w:szCs w:val="18"/>
              </w:rPr>
              <w:t xml:space="preserve">MT-06</w:t>
            </w:r>
          </w:p>
        </w:tc>
        <w:tc>
          <w:tcPr>
            <w:tcW w:type="dxa" w:w="16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ChromaDB Scaling</w:t>
            </w:r>
          </w:p>
        </w:tc>
        <w:tc>
          <w:tcPr>
            <w:tcW w:type="dxa" w:w="45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ChromaDB vector store requires shared access from multiple machines</w:t>
            </w:r>
          </w:p>
        </w:tc>
        <w:tc>
          <w:tcPr>
            <w:tcW w:type="dxa" w:w="24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BF8F00"/>
                <w:sz w:val="18"/>
                <w:szCs w:val="18"/>
              </w:rPr>
              <w:t xml:space="preserve">SOFT TRIGGER — evaluate server ChromaDB or pgvector</w:t>
            </w:r>
          </w:p>
        </w:tc>
      </w:tr>
      <w:tr>
        <w:tc>
          <w:tcPr>
            <w:tcW w:type="dxa" w:w="8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center"/>
            </w:pPr>
            <w:r>
              <w:rPr>
                <w:rFonts w:ascii="Arial" w:cs="Arial" w:eastAsia="Arial" w:hAnsi="Arial"/>
                <w:b/>
                <w:bCs/>
                <w:i w:val="false"/>
                <w:iCs w:val="false"/>
                <w:color w:val="000000"/>
                <w:sz w:val="18"/>
                <w:szCs w:val="18"/>
              </w:rPr>
              <w:t xml:space="preserve">MT-07</w:t>
            </w:r>
          </w:p>
        </w:tc>
        <w:tc>
          <w:tcPr>
            <w:tcW w:type="dxa" w:w="1600"/>
            <w:gridSpan w:val="1"/>
            <w:tcBorders>
              <w:top w:val="single" w:color="BFBFBF" w:sz="4"/>
              <w:left w:val="single" w:color="BFBFBF" w:sz="4"/>
              <w:bottom w:val="single" w:color="BFBFBF" w:sz="4"/>
              <w:right w:val="single" w:color="BFBFBF" w:sz="4"/>
            </w:tcBorders>
            <w:shd w:fill="D6E4F0"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Celery Worker Count</w:t>
            </w:r>
          </w:p>
        </w:tc>
        <w:tc>
          <w:tcPr>
            <w:tcW w:type="dxa" w:w="456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More than 4 concurrent Celery workers writing to the same database</w:t>
            </w:r>
          </w:p>
        </w:tc>
        <w:tc>
          <w:tcPr>
            <w:tcW w:type="dxa" w:w="2400"/>
            <w:gridSpan w:val="1"/>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vAlign w:val="center"/>
          </w:tcPr>
          <w:p>
            <w:pPr>
              <w:jc w:val="left"/>
            </w:pPr>
            <w:r>
              <w:rPr>
                <w:rFonts w:ascii="Arial" w:cs="Arial" w:eastAsia="Arial" w:hAnsi="Arial"/>
                <w:b/>
                <w:bCs/>
                <w:i w:val="false"/>
                <w:iCs w:val="false"/>
                <w:color w:val="BF8F00"/>
                <w:sz w:val="18"/>
                <w:szCs w:val="18"/>
              </w:rPr>
              <w:t xml:space="preserve">SOFT TRIGGER — WAL mode handles up to ~4; beyond this, PostgreSQL preferred</w:t>
            </w:r>
          </w:p>
        </w:tc>
      </w:tr>
      <w:tr>
        <w:tc>
          <w:tcPr>
            <w:tcW w:type="dxa" w:w="8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center"/>
            </w:pPr>
            <w:r>
              <w:rPr>
                <w:rFonts w:ascii="Arial" w:cs="Arial" w:eastAsia="Arial" w:hAnsi="Arial"/>
                <w:b/>
                <w:bCs/>
                <w:i w:val="false"/>
                <w:iCs w:val="false"/>
                <w:color w:val="000000"/>
                <w:sz w:val="18"/>
                <w:szCs w:val="18"/>
              </w:rPr>
              <w:t xml:space="preserve">MT-08</w:t>
            </w:r>
          </w:p>
        </w:tc>
        <w:tc>
          <w:tcPr>
            <w:tcW w:type="dxa" w:w="16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000000"/>
                <w:sz w:val="18"/>
                <w:szCs w:val="18"/>
              </w:rPr>
              <w:t xml:space="preserve">Business Decision</w:t>
            </w:r>
          </w:p>
        </w:tc>
        <w:tc>
          <w:tcPr>
            <w:tcW w:type="dxa" w:w="456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i w:val="false"/>
                <w:iCs w:val="false"/>
                <w:color w:val="000000"/>
                <w:sz w:val="18"/>
                <w:szCs w:val="18"/>
              </w:rPr>
              <w:t xml:space="preserve">Organisation decides to deploy the system as a shared team tool or SaaS product</w:t>
            </w:r>
          </w:p>
        </w:tc>
        <w:tc>
          <w:tcPr>
            <w:tcW w:type="dxa" w:w="2400"/>
            <w:gridSpan w:val="1"/>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vAlign w:val="center"/>
          </w:tcPr>
          <w:p>
            <w:pPr>
              <w:jc w:val="left"/>
            </w:pPr>
            <w:r>
              <w:rPr>
                <w:rFonts w:ascii="Arial" w:cs="Arial" w:eastAsia="Arial" w:hAnsi="Arial"/>
                <w:b/>
                <w:bCs/>
                <w:i w:val="false"/>
                <w:iCs w:val="false"/>
                <w:color w:val="375623"/>
                <w:sz w:val="18"/>
                <w:szCs w:val="18"/>
              </w:rPr>
              <w:t xml:space="preserve">BUSINESS TRIGGER — PostgreSQL mandatory for multi-tenant use</w:t>
            </w:r>
          </w:p>
        </w:tc>
      </w:tr>
    </w:tbl>
    <w:p>
      <w:pPr>
        <w:spacing w:after="80" w:before="80"/>
      </w:pPr>
    </w:p>
    <w:p>
      <w:pPr>
        <w:pStyle w:val="Heading2"/>
        <w:spacing w:after="100" w:before="220"/>
      </w:pPr>
      <w:r>
        <w:rPr>
          <w:rFonts w:ascii="Arial" w:cs="Arial" w:eastAsia="Arial" w:hAnsi="Arial"/>
          <w:b/>
          <w:bCs/>
          <w:color w:val="2E75B6"/>
          <w:sz w:val="26"/>
          <w:szCs w:val="26"/>
        </w:rPr>
        <w:t xml:space="preserve">7.1  Migration Path</w:t>
      </w:r>
    </w:p>
    <w:p>
      <w:pPr>
        <w:spacing w:after="60" w:before="60"/>
        <w:jc w:val="left"/>
      </w:pPr>
      <w:r>
        <w:rPr>
          <w:rFonts w:ascii="Arial" w:cs="Arial" w:eastAsia="Arial" w:hAnsi="Arial"/>
          <w:b w:val="false"/>
          <w:bCs w:val="false"/>
          <w:i w:val="false"/>
          <w:iCs w:val="false"/>
          <w:color w:val="000000"/>
          <w:sz w:val="20"/>
          <w:szCs w:val="20"/>
        </w:rPr>
        <w:t xml:space="preserve">When migration is triggered, the following path ensures zero data loss:</w:t>
      </w:r>
    </w:p>
    <w:p>
      <w:pPr>
        <w:pStyle w:val="ListParagraph"/>
        <w:numPr>
          <w:ilvl w:val="0"/>
          <w:numId w:val="2"/>
        </w:numPr>
        <w:spacing w:after="40" w:before="40"/>
      </w:pPr>
      <w:r>
        <w:rPr>
          <w:rFonts w:ascii="Arial" w:cs="Arial" w:eastAsia="Arial" w:hAnsi="Arial"/>
          <w:b w:val="false"/>
          <w:bCs w:val="false"/>
          <w:color w:val="000000"/>
          <w:sz w:val="20"/>
          <w:szCs w:val="20"/>
        </w:rPr>
        <w:t xml:space="preserve">Export full SQL dump from SQLite: sqlite3 steel_agent.db .dump &gt; migration.sql</w:t>
      </w:r>
    </w:p>
    <w:p>
      <w:pPr>
        <w:pStyle w:val="ListParagraph"/>
        <w:numPr>
          <w:ilvl w:val="0"/>
          <w:numId w:val="2"/>
        </w:numPr>
        <w:spacing w:after="40" w:before="40"/>
      </w:pPr>
      <w:r>
        <w:rPr>
          <w:rFonts w:ascii="Arial" w:cs="Arial" w:eastAsia="Arial" w:hAnsi="Arial"/>
          <w:b w:val="false"/>
          <w:bCs w:val="false"/>
          <w:color w:val="000000"/>
          <w:sz w:val="20"/>
          <w:szCs w:val="20"/>
        </w:rPr>
        <w:t xml:space="preserve">Apply type mapping (Section 5.1) to convert SQLite types to PostgreSQL equivalents</w:t>
      </w:r>
    </w:p>
    <w:p>
      <w:pPr>
        <w:pStyle w:val="ListParagraph"/>
        <w:numPr>
          <w:ilvl w:val="0"/>
          <w:numId w:val="2"/>
        </w:numPr>
        <w:spacing w:after="40" w:before="40"/>
      </w:pPr>
      <w:r>
        <w:rPr>
          <w:rFonts w:ascii="Arial" w:cs="Arial" w:eastAsia="Arial" w:hAnsi="Arial"/>
          <w:b w:val="false"/>
          <w:bCs w:val="false"/>
          <w:color w:val="000000"/>
          <w:sz w:val="20"/>
          <w:szCs w:val="20"/>
        </w:rPr>
        <w:t xml:space="preserve">Create PostgreSQL schema using original MasterDB v3+ definitions (no redesign required)</w:t>
      </w:r>
    </w:p>
    <w:p>
      <w:pPr>
        <w:pStyle w:val="ListParagraph"/>
        <w:numPr>
          <w:ilvl w:val="0"/>
          <w:numId w:val="2"/>
        </w:numPr>
        <w:spacing w:after="40" w:before="40"/>
      </w:pPr>
      <w:r>
        <w:rPr>
          <w:rFonts w:ascii="Arial" w:cs="Arial" w:eastAsia="Arial" w:hAnsi="Arial"/>
          <w:b w:val="false"/>
          <w:bCs w:val="false"/>
          <w:color w:val="000000"/>
          <w:sz w:val="20"/>
          <w:szCs w:val="20"/>
        </w:rPr>
        <w:t xml:space="preserve">Import data via psql: psql -d steel_agent -f migration.sql</w:t>
      </w:r>
    </w:p>
    <w:p>
      <w:pPr>
        <w:pStyle w:val="ListParagraph"/>
        <w:numPr>
          <w:ilvl w:val="0"/>
          <w:numId w:val="2"/>
        </w:numPr>
        <w:spacing w:after="40" w:before="40"/>
      </w:pPr>
      <w:r>
        <w:rPr>
          <w:rFonts w:ascii="Arial" w:cs="Arial" w:eastAsia="Arial" w:hAnsi="Arial"/>
          <w:b w:val="false"/>
          <w:bCs w:val="false"/>
          <w:color w:val="000000"/>
          <w:sz w:val="20"/>
          <w:szCs w:val="20"/>
        </w:rPr>
        <w:t xml:space="preserve">Run full validation: execute all 293 rules against migrated data</w:t>
      </w:r>
    </w:p>
    <w:p>
      <w:pPr>
        <w:pStyle w:val="ListParagraph"/>
        <w:numPr>
          <w:ilvl w:val="0"/>
          <w:numId w:val="2"/>
        </w:numPr>
        <w:spacing w:after="40" w:before="40"/>
      </w:pPr>
      <w:r>
        <w:rPr>
          <w:rFonts w:ascii="Arial" w:cs="Arial" w:eastAsia="Arial" w:hAnsi="Arial"/>
          <w:b w:val="false"/>
          <w:bCs w:val="false"/>
          <w:color w:val="000000"/>
          <w:sz w:val="20"/>
          <w:szCs w:val="20"/>
        </w:rPr>
        <w:t xml:space="preserve">Switch FastAPI connection string from SQLite file to PostgreSQL DSN</w:t>
      </w:r>
    </w:p>
    <w:p>
      <w:pPr>
        <w:pStyle w:val="ListParagraph"/>
        <w:numPr>
          <w:ilvl w:val="0"/>
          <w:numId w:val="2"/>
        </w:numPr>
        <w:spacing w:after="40" w:before="40"/>
      </w:pPr>
      <w:r>
        <w:rPr>
          <w:rFonts w:ascii="Arial" w:cs="Arial" w:eastAsia="Arial" w:hAnsi="Arial"/>
          <w:b w:val="false"/>
          <w:bCs w:val="false"/>
          <w:color w:val="000000"/>
          <w:sz w:val="20"/>
          <w:szCs w:val="20"/>
        </w:rPr>
        <w:t xml:space="preserve">Decommission SQLite file after 30-day parallel verification period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375623" w:sz="4"/>
              <w:left w:val="single" w:color="375623" w:sz="4"/>
              <w:bottom w:val="single" w:color="375623" w:sz="4"/>
              <w:right w:val="single" w:color="375623" w:sz="4"/>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GUARANTEE</w:t>
            </w:r>
          </w:p>
        </w:tc>
        <w:tc>
          <w:tcPr>
            <w:tcW w:type="dxa" w:w="8160"/>
            <w:tcBorders>
              <w:top w:val="single" w:color="375623" w:sz="4"/>
              <w:left w:val="single" w:color="375623" w:sz="4"/>
              <w:bottom w:val="single" w:color="375623" w:sz="4"/>
              <w:right w:val="single" w:color="375623" w:sz="4"/>
            </w:tcBorders>
            <w:shd w:fill="E2EFDA" w:val="clear"/>
            <w:tcMar>
              <w:top w:type="dxa" w:w="80"/>
              <w:left w:type="dxa" w:w="120"/>
              <w:bottom w:type="dxa" w:w="80"/>
              <w:right w:type="dxa" w:w="120"/>
            </w:tcMar>
          </w:tcPr>
          <w:p>
            <w:r>
              <w:rPr>
                <w:rFonts w:ascii="Arial" w:cs="Arial" w:eastAsia="Arial" w:hAnsi="Arial"/>
                <w:color w:val="000000"/>
                <w:sz w:val="20"/>
                <w:szCs w:val="20"/>
              </w:rPr>
              <w:t xml:space="preserve">The SQLite schema is designed to be fully forward-compatible with the PostgreSQL target. No engineering data, rule, or field will require redesign at migration time. Only connection strings and type affinity mappings change.</w:t>
            </w:r>
          </w:p>
        </w:tc>
      </w:tr>
    </w:tbl>
    <w:p>
      <w:pPr>
        <w:spacing w:after="80" w:before="80"/>
      </w:pPr>
    </w:p>
    <w:p>
      <w:pPr>
        <w:pStyle w:val="Heading1"/>
        <w:pBdr>
          <w:bottom w:val="single" w:color="2E75B6" w:sz="8" w:space="4"/>
        </w:pBdr>
        <w:spacing w:after="120" w:before="280"/>
      </w:pPr>
      <w:r>
        <w:rPr>
          <w:rFonts w:ascii="Arial" w:cs="Arial" w:eastAsia="Arial" w:hAnsi="Arial"/>
          <w:b/>
          <w:bCs/>
          <w:color w:val="1F3864"/>
          <w:sz w:val="32"/>
          <w:szCs w:val="32"/>
        </w:rPr>
        <w:t xml:space="preserve">8. Approvals</w:t>
      </w:r>
    </w:p>
    <w:p>
      <w:pPr>
        <w:spacing w:after="60" w:before="60"/>
        <w:jc w:val="left"/>
      </w:pPr>
      <w:r>
        <w:rPr>
          <w:rFonts w:ascii="Arial" w:cs="Arial" w:eastAsia="Arial" w:hAnsi="Arial"/>
          <w:b w:val="false"/>
          <w:bCs w:val="false"/>
          <w:i w:val="false"/>
          <w:iCs w:val="false"/>
          <w:color w:val="000000"/>
          <w:sz w:val="20"/>
          <w:szCs w:val="20"/>
        </w:rPr>
        <w:t xml:space="preserve">This Technology Decision Note (TDN-DB-001) requires approval from the following roles before Phase 5 schema creation begins: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ENGINEERING LEAD</w:t>
            </w:r>
          </w:p>
        </w:tc>
        <w:tc>
          <w:tcPr>
            <w:tcW w:type="dxa" w:w="3120"/>
            <w:gridSpan w:val="1"/>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IT LEAD</w:t>
            </w:r>
          </w:p>
        </w:tc>
        <w:tc>
          <w:tcPr>
            <w:tcW w:type="dxa" w:w="3120"/>
            <w:gridSpan w:val="1"/>
            <w:tcBorders>
              <w:top w:val="single" w:color="1F3864" w:sz="4"/>
              <w:left w:val="single" w:color="1F3864" w:sz="4"/>
              <w:bottom w:val="single" w:color="1F3864" w:sz="4"/>
              <w:right w:val="single" w:color="1F3864" w:sz="4"/>
            </w:tcBorders>
            <w:shd w:fill="1F3864" w:val="clear"/>
            <w:tcMar>
              <w:top w:type="dxa" w:w="60"/>
              <w:left w:type="dxa" w:w="120"/>
              <w:bottom w:type="dxa" w:w="60"/>
              <w:right w:type="dxa" w:w="120"/>
            </w:tcMar>
            <w:vAlign w:val="center"/>
          </w:tcPr>
          <w:p>
            <w:pPr>
              <w:jc w:val="left"/>
            </w:pPr>
            <w:r>
              <w:rPr>
                <w:rFonts w:ascii="Arial" w:cs="Arial" w:eastAsia="Arial" w:hAnsi="Arial"/>
                <w:b/>
                <w:bCs/>
                <w:i w:val="false"/>
                <w:iCs w:val="false"/>
                <w:color w:val="FFFFFF"/>
                <w:sz w:val="18"/>
                <w:szCs w:val="18"/>
              </w:rPr>
              <w:t xml:space="preserve">PROJECT MANAGER</w:t>
            </w:r>
          </w:p>
        </w:tc>
      </w:tr>
      <w:tr>
        <w:tc>
          <w:tcPr>
            <w:tcW w:type="dxa" w:w="3120"/>
            <w:tcBorders>
              <w:top w:val="single" w:color="BFBFBF" w:sz="4"/>
              <w:left w:val="single" w:color="BFBFBF" w:sz="4"/>
              <w:bottom w:val="single" w:color="BFBFBF" w:sz="4"/>
              <w:right w:val="single" w:color="BFBFBF" w:sz="4"/>
            </w:tcBorders>
            <w:shd w:fill="F2F2F2" w:val="clear"/>
            <w:tcMar>
              <w:top w:type="dxa" w:w="120"/>
              <w:left w:type="dxa" w:w="120"/>
              <w:bottom w:type="dxa" w:w="120"/>
              <w:right w:type="dxa" w:w="120"/>
            </w:tcMar>
          </w:tcPr>
          <w:p>
            <w:pPr>
              <w:spacing w:after="80" w:before="400"/>
            </w:pPr>
            <w:r>
              <w:rPr>
                <w:rFonts w:ascii="Arial" w:cs="Arial" w:eastAsia="Arial" w:hAnsi="Arial"/>
                <w:color w:val="595959"/>
                <w:sz w:val="18"/>
                <w:szCs w:val="18"/>
              </w:rPr>
              <w:t xml:space="preserve">Signature: ___________________</w:t>
            </w:r>
          </w:p>
          <w:p>
            <w:pPr>
              <w:spacing w:after="40" w:before="40"/>
            </w:pPr>
            <w:r>
              <w:rPr>
                <w:rFonts w:ascii="Arial" w:cs="Arial" w:eastAsia="Arial" w:hAnsi="Arial"/>
                <w:color w:val="595959"/>
                <w:sz w:val="18"/>
                <w:szCs w:val="18"/>
              </w:rPr>
              <w:t xml:space="preserve">Name: ________________________</w:t>
            </w:r>
          </w:p>
          <w:p>
            <w:pPr>
              <w:spacing w:after="40" w:before="40"/>
            </w:pPr>
            <w:r>
              <w:rPr>
                <w:rFonts w:ascii="Arial" w:cs="Arial" w:eastAsia="Arial" w:hAnsi="Arial"/>
                <w:color w:val="595959"/>
                <w:sz w:val="18"/>
                <w:szCs w:val="18"/>
              </w:rPr>
              <w:t xml:space="preserve">Date: ________________________</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20"/>
              <w:bottom w:type="dxa" w:w="120"/>
              <w:right w:type="dxa" w:w="120"/>
            </w:tcMar>
          </w:tcPr>
          <w:p>
            <w:pPr>
              <w:spacing w:after="80" w:before="400"/>
            </w:pPr>
            <w:r>
              <w:rPr>
                <w:rFonts w:ascii="Arial" w:cs="Arial" w:eastAsia="Arial" w:hAnsi="Arial"/>
                <w:color w:val="595959"/>
                <w:sz w:val="18"/>
                <w:szCs w:val="18"/>
              </w:rPr>
              <w:t xml:space="preserve">Signature: ___________________</w:t>
            </w:r>
          </w:p>
          <w:p>
            <w:pPr>
              <w:spacing w:after="40" w:before="40"/>
            </w:pPr>
            <w:r>
              <w:rPr>
                <w:rFonts w:ascii="Arial" w:cs="Arial" w:eastAsia="Arial" w:hAnsi="Arial"/>
                <w:color w:val="595959"/>
                <w:sz w:val="18"/>
                <w:szCs w:val="18"/>
              </w:rPr>
              <w:t xml:space="preserve">Name: ________________________</w:t>
            </w:r>
          </w:p>
          <w:p>
            <w:pPr>
              <w:spacing w:after="40" w:before="40"/>
            </w:pPr>
            <w:r>
              <w:rPr>
                <w:rFonts w:ascii="Arial" w:cs="Arial" w:eastAsia="Arial" w:hAnsi="Arial"/>
                <w:color w:val="595959"/>
                <w:sz w:val="18"/>
                <w:szCs w:val="18"/>
              </w:rPr>
              <w:t xml:space="preserve">Date: ________________________</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20"/>
              <w:bottom w:type="dxa" w:w="120"/>
              <w:right w:type="dxa" w:w="120"/>
            </w:tcMar>
          </w:tcPr>
          <w:p>
            <w:pPr>
              <w:spacing w:after="80" w:before="400"/>
            </w:pPr>
            <w:r>
              <w:rPr>
                <w:rFonts w:ascii="Arial" w:cs="Arial" w:eastAsia="Arial" w:hAnsi="Arial"/>
                <w:color w:val="595959"/>
                <w:sz w:val="18"/>
                <w:szCs w:val="18"/>
              </w:rPr>
              <w:t xml:space="preserve">Signature: ___________________</w:t>
            </w:r>
          </w:p>
          <w:p>
            <w:pPr>
              <w:spacing w:after="40" w:before="40"/>
            </w:pPr>
            <w:r>
              <w:rPr>
                <w:rFonts w:ascii="Arial" w:cs="Arial" w:eastAsia="Arial" w:hAnsi="Arial"/>
                <w:color w:val="595959"/>
                <w:sz w:val="18"/>
                <w:szCs w:val="18"/>
              </w:rPr>
              <w:t xml:space="preserve">Name: ________________________</w:t>
            </w:r>
          </w:p>
          <w:p>
            <w:pPr>
              <w:spacing w:after="40" w:before="40"/>
            </w:pPr>
            <w:r>
              <w:rPr>
                <w:rFonts w:ascii="Arial" w:cs="Arial" w:eastAsia="Arial" w:hAnsi="Arial"/>
                <w:color w:val="595959"/>
                <w:sz w:val="18"/>
                <w:szCs w:val="18"/>
              </w:rPr>
              <w:t xml:space="preserve">Date: ________________________</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3864" w:sz="4"/>
              <w:left w:val="single" w:color="1F3864" w:sz="4"/>
              <w:bottom w:val="single" w:color="1F3864" w:sz="4"/>
              <w:right w:val="single" w:color="1F3864" w:sz="4"/>
            </w:tcBorders>
            <w:shd w:fill="EBF3FB" w:val="clear"/>
            <w:tcMar>
              <w:top w:type="dxa" w:w="80"/>
              <w:left w:type="dxa" w:w="120"/>
              <w:bottom w:type="dxa" w:w="80"/>
              <w:right w:type="dxa" w:w="120"/>
            </w:tcMar>
          </w:tcPr>
          <w:p>
            <w:pPr>
              <w:jc w:val="center"/>
            </w:pPr>
            <w:r>
              <w:rPr>
                <w:rFonts w:ascii="Arial" w:cs="Arial" w:eastAsia="Arial" w:hAnsi="Arial"/>
                <w:b/>
                <w:bCs/>
                <w:color w:val="1F3864"/>
                <w:sz w:val="20"/>
                <w:szCs w:val="20"/>
              </w:rPr>
              <w:t xml:space="preserve">FINAL STATUS</w:t>
            </w:r>
          </w:p>
        </w:tc>
        <w:tc>
          <w:tcPr>
            <w:tcW w:type="dxa" w:w="8160"/>
            <w:tcBorders>
              <w:top w:val="single" w:color="1F3864" w:sz="4"/>
              <w:left w:val="single" w:color="1F3864" w:sz="4"/>
              <w:bottom w:val="single" w:color="1F3864" w:sz="4"/>
              <w:right w:val="single" w:color="1F3864"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TDN-DB-001 is issued and binding. Phase 5 implementation proceeds with SQLite. PostgreSQL deferred to Phase 6. All 57 tables, 196 fields, 293 rules, 10 stage gates, and 28 override-prohibited fields are unchanged.</w:t>
            </w:r>
          </w:p>
        </w:tc>
      </w:tr>
    </w:tbl>
    <w:p>
      <w:pPr>
        <w:spacing w:after="80" w:before="80"/>
      </w:pPr>
    </w:p>
    <w:p>
      <w:pPr>
        <w:spacing w:after="60" w:before="60"/>
        <w:jc w:val="center"/>
      </w:pPr>
      <w:r>
        <w:rPr>
          <w:rFonts w:ascii="Arial" w:cs="Arial" w:eastAsia="Arial" w:hAnsi="Arial"/>
          <w:b w:val="false"/>
          <w:bCs w:val="false"/>
          <w:i/>
          <w:iCs/>
          <w:color w:val="595959"/>
          <w:sz w:val="16"/>
          <w:szCs w:val="16"/>
        </w:rPr>
        <w:t xml:space="preserve">Document ID: TDN-DB-001  |  Infiniti Solutions — Steel Detailing Automation  |  Phase 5 Implementation  |  April 23, 2026  |  CONFIDENTIAL — Internal Use Only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2026-04-23T05:45:46.400Z</dcterms:created>
  <dcterms:modified xsi:type="dcterms:W3CDTF">2026-04-23T05:45:46.401Z</dcterms:modified>
</cp:coreProperties>
</file>

<file path=docProps/custom.xml><?xml version="1.0" encoding="utf-8"?>
<Properties xmlns="http://schemas.openxmlformats.org/officeDocument/2006/custom-properties" xmlns:vt="http://schemas.openxmlformats.org/officeDocument/2006/docPropsVTypes"/>
</file>