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3864" w:val="clear"/>
            <w:tcMar>
              <w:top w:type="dxa" w:w="400"/>
              <w:left w:type="dxa" w:w="400"/>
              <w:bottom w:type="dxa" w:w="400"/>
              <w:right w:type="dxa" w:w="400"/>
            </w:tcMar>
          </w:tcPr>
          <w:p>
            <w:pPr>
              <w:spacing w:after="100"/>
              <w:jc w:val="center"/>
            </w:pPr>
            <w:r>
              <w:rPr>
                <w:rFonts w:ascii="Arial" w:cs="Arial" w:eastAsia="Arial" w:hAnsi="Arial"/>
                <w:b/>
                <w:bCs/>
                <w:color w:val="FFFFFF"/>
                <w:sz w:val="28"/>
                <w:szCs w:val="28"/>
              </w:rPr>
              <w:t xml:space="preserve">INFINITI SOLUTIONS STEEL DETAILING SYSTEM</w:t>
            </w:r>
          </w:p>
          <w:p>
            <w:pPr>
              <w:spacing w:after="100"/>
              <w:jc w:val="center"/>
            </w:pPr>
            <w:r>
              <w:rPr>
                <w:rFonts w:ascii="Arial" w:cs="Arial" w:eastAsia="Arial" w:hAnsi="Arial"/>
                <w:b/>
                <w:bCs/>
                <w:color w:val="BDD7EE"/>
                <w:sz w:val="24"/>
                <w:szCs w:val="24"/>
              </w:rPr>
              <w:t xml:space="preserve">PHASE 5 — CONTROLLED VALIDATION PREPARATION</w:t>
            </w:r>
          </w:p>
          <w:p>
            <w:pPr>
              <w:spacing w:after="300"/>
              <w:jc w:val="center"/>
            </w:pPr>
            <w:r>
              <w:rPr>
                <w:rFonts w:ascii="Arial" w:cs="Arial" w:eastAsia="Arial" w:hAnsi="Arial"/>
                <w:b/>
                <w:bCs/>
                <w:color w:val="FFFFFF"/>
                <w:sz w:val="36"/>
                <w:szCs w:val="36"/>
              </w:rPr>
              <w:t xml:space="preserve">PROMPT 8 — 5-JOB BENCHMARK PREPARATION PACK</w:t>
            </w:r>
          </w:p>
          <w:p>
            <w:pPr>
              <w:spacing w:after="80"/>
              <w:jc w:val="center"/>
            </w:pPr>
            <w:r>
              <w:rPr>
                <w:rFonts w:ascii="Arial" w:cs="Arial" w:eastAsia="Arial" w:hAnsi="Arial"/>
                <w:b/>
                <w:bCs/>
                <w:color w:val="BDD7EE"/>
                <w:sz w:val="24"/>
                <w:szCs w:val="24"/>
              </w:rPr>
              <w:t xml:space="preserve">IFS-BM-PREP-20260424</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Document ID</w:t>
            </w:r>
          </w:p>
        </w:tc>
        <w:tc>
          <w:tcPr>
            <w:tcW w:type="dxa" w:w="6360"/>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IFS-BM-PREP-20260424</w:t>
            </w:r>
          </w:p>
        </w:tc>
      </w:tr>
      <w:tr>
        <w:tc>
          <w:tcPr>
            <w:tcW w:type="dxa" w:w="3000"/>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Date</w:t>
            </w:r>
          </w:p>
        </w:tc>
        <w:tc>
          <w:tcPr>
            <w:tcW w:type="dxa" w:w="636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Friday 24 April 2026</w:t>
            </w:r>
          </w:p>
        </w:tc>
      </w:tr>
      <w:tr>
        <w:tc>
          <w:tcPr>
            <w:tcW w:type="dxa" w:w="3000"/>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Prepared By</w:t>
            </w:r>
          </w:p>
        </w:tc>
        <w:tc>
          <w:tcPr>
            <w:tcW w:type="dxa" w:w="6360"/>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Benchmark Preparation Agent</w:t>
            </w:r>
          </w:p>
        </w:tc>
      </w:tr>
      <w:tr>
        <w:tc>
          <w:tcPr>
            <w:tcW w:type="dxa" w:w="3000"/>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Authority Baseline</w:t>
            </w:r>
          </w:p>
        </w:tc>
        <w:tc>
          <w:tcPr>
            <w:tcW w:type="dxa" w:w="636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MasterDB v3+ FROZEN | IFS-BUILD-EXEC-20260424 | TDN-DB-001</w:t>
            </w:r>
          </w:p>
        </w:tc>
      </w:tr>
      <w:tr>
        <w:tc>
          <w:tcPr>
            <w:tcW w:type="dxa" w:w="3000"/>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Database</w:t>
            </w:r>
          </w:p>
        </w:tc>
        <w:tc>
          <w:tcPr>
            <w:tcW w:type="dxa" w:w="6360"/>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SQLite (TDN-DB-001)</w:t>
            </w:r>
          </w:p>
        </w:tc>
      </w:tr>
      <w:tr>
        <w:tc>
          <w:tcPr>
            <w:tcW w:type="dxa" w:w="3000"/>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Purpose</w:t>
            </w:r>
          </w:p>
        </w:tc>
        <w:tc>
          <w:tcPr>
            <w:tcW w:type="dxa" w:w="636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Select, classify, and prepare the 5-project benchmark cycle for the first end-to-end controlled testing phase</w:t>
            </w:r>
          </w:p>
        </w:tc>
      </w:tr>
      <w:tr>
        <w:tc>
          <w:tcPr>
            <w:tcW w:type="dxa" w:w="3000"/>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Status</w:t>
            </w:r>
          </w:p>
        </w:tc>
        <w:tc>
          <w:tcPr>
            <w:tcW w:type="dxa" w:w="6360"/>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READY TO EXECUTE — Pending Integration Hold Clearance</w:t>
            </w:r>
          </w:p>
        </w:tc>
      </w:tr>
      <w:tr>
        <w:tc>
          <w:tcPr>
            <w:tcW w:type="dxa" w:w="3000"/>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Linked Blockers</w:t>
            </w:r>
          </w:p>
        </w:tc>
        <w:tc>
          <w:tcPr>
            <w:tcW w:type="dxa" w:w="636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BLOCKER-01 (IV-2.0.0) | BLOCKER-02 (BJ-010) | BLOCKER-03 (CCB)</w:t>
            </w:r>
          </w:p>
        </w:tc>
      </w:tr>
      <w:tr>
        <w:tc>
          <w:tcPr>
            <w:tcW w:type="dxa" w:w="3000"/>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Integration Hold</w:t>
            </w:r>
          </w:p>
        </w:tc>
        <w:tc>
          <w:tcPr>
            <w:tcW w:type="dxa" w:w="6360"/>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Benchmark cycle executes AFTER hold is cleared — structure is ready now</w:t>
            </w:r>
          </w:p>
        </w:tc>
      </w:tr>
      <w:tr>
        <w:tc>
          <w:tcPr>
            <w:tcW w:type="dxa" w:w="3000"/>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Supersedes</w:t>
            </w:r>
          </w:p>
        </w:tc>
        <w:tc>
          <w:tcPr>
            <w:tcW w:type="dxa" w:w="636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No prior benchmark preparation document</w:t>
            </w:r>
          </w:p>
        </w:tc>
      </w:tr>
    </w:tbl>
    <w:p>
      <w:pPr>
        <w:spacing w:after="80"/>
      </w:pPr>
    </w:p>
    <w:p>
      <w:pPr>
        <w:spacing w:after="80"/>
      </w:pPr>
    </w:p>
    <w:p>
      <w:pPr>
        <w:spacing w:after="160"/>
        <w:jc w:val="center"/>
      </w:pPr>
      <w:r>
        <w:rPr>
          <w:rFonts w:ascii="Arial" w:cs="Arial" w:eastAsia="Arial" w:hAnsi="Arial"/>
          <w:b w:val="false"/>
          <w:bCs w:val="false"/>
          <w:i/>
          <w:iCs/>
          <w:color w:val="000000"/>
          <w:sz w:val="18"/>
          <w:szCs w:val="18"/>
        </w:rPr>
        <w:t xml:space="preserve">CONTENTS: Section 1 — Selected Benchmark Set | Section 2 — Job-by-Job Classification | Section 3 — Coverage Matrix | Section 4 — Execution Order | Section 5 — Excluded Job List | Section 6 — Evidence Log Template</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Arial" w:cs="Arial" w:eastAsia="Arial" w:hAnsi="Arial"/>
                <w:b/>
                <w:bCs/>
                <w:color w:val="FFFFFF"/>
                <w:sz w:val="24"/>
                <w:szCs w:val="24"/>
              </w:rPr>
              <w:t xml:space="preserve">SECTION 1 — SELECTED BENCHMARK SET</w:t>
            </w:r>
          </w:p>
        </w:tc>
      </w:tr>
    </w:tbl>
    <w:p>
      <w:pPr>
        <w:spacing w:after="80"/>
      </w:pPr>
    </w:p>
    <w:p>
      <w:pPr>
        <w:spacing w:after="160"/>
        <w:jc w:val="left"/>
      </w:pPr>
      <w:r>
        <w:rPr>
          <w:rFonts w:ascii="Arial" w:cs="Arial" w:eastAsia="Arial" w:hAnsi="Arial"/>
          <w:b w:val="false"/>
          <w:bCs w:val="false"/>
          <w:i w:val="false"/>
          <w:iCs w:val="false"/>
          <w:color w:val="000000"/>
          <w:sz w:val="20"/>
          <w:szCs w:val="20"/>
        </w:rPr>
        <w:t xml:space="preserve">Five benchmark jobs are selected to cover the full breadth of source types, parser paths, fallback chains, and geometry complexity present in the IFS system. Selection strictly follows the mandatory rules: no easy-only set; at least two non-MBS jobs; at least one complex PEB stress job.</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2000"/>
        <w:gridCol w:w="2160"/>
      </w:tblGrid>
      <w:tr>
        <w:trPr>
          <w:tblHeader/>
        </w:trPr>
        <w:tc>
          <w:tcPr>
            <w:tcW w:type="dxa" w:w="1200"/>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Job ID</w:t>
            </w:r>
          </w:p>
        </w:tc>
        <w:tc>
          <w:tcPr>
            <w:tcW w:type="dxa" w:w="2000"/>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Type</w:t>
            </w:r>
          </w:p>
        </w:tc>
        <w:tc>
          <w:tcPr>
            <w:tcW w:type="dxa" w:w="2000"/>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w:t>
            </w:r>
          </w:p>
        </w:tc>
        <w:tc>
          <w:tcPr>
            <w:tcW w:type="dxa" w:w="2000"/>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Primary Source / Parser</w:t>
            </w:r>
          </w:p>
        </w:tc>
        <w:tc>
          <w:tcPr>
            <w:tcW w:type="dxa" w:w="2160"/>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Primary Test Purpose</w:t>
            </w:r>
          </w:p>
        </w:tc>
      </w:tr>
      <w:tr>
        <w:tc>
          <w:tcPr>
            <w:tcW w:type="dxa" w:w="1200"/>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BM-001</w:t>
            </w:r>
          </w:p>
        </w:tc>
        <w:tc>
          <w:tcPr>
            <w:tcW w:type="dxa" w:w="20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Simple MBS</w:t>
            </w:r>
          </w:p>
        </w:tc>
        <w:tc>
          <w:tcPr>
            <w:tcW w:type="dxa" w:w="20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Warehouse/factory — single-span</w:t>
            </w:r>
          </w:p>
        </w:tc>
        <w:tc>
          <w:tcPr>
            <w:tcW w:type="dxa" w:w="2000"/>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MBSParser (P2) primary | PDF text (P7) fallback</w:t>
            </w:r>
          </w:p>
        </w:tc>
        <w:tc>
          <w:tcPr>
            <w:tcW w:type="dxa" w:w="216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Clean baseline — standard IS sections, no built-up</w:t>
            </w:r>
          </w:p>
        </w:tc>
      </w:tr>
      <w:tr>
        <w:tc>
          <w:tcPr>
            <w:tcW w:type="dxa" w:w="1200"/>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BM-002</w:t>
            </w:r>
          </w:p>
        </w:tc>
        <w:tc>
          <w:tcPr>
            <w:tcW w:type="dxa" w:w="200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Medium MBS</w:t>
            </w:r>
          </w:p>
        </w:tc>
        <w:tc>
          <w:tcPr>
            <w:tcW w:type="dxa" w:w="200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Multi-bay factory with mezzanine</w:t>
            </w:r>
          </w:p>
        </w:tc>
        <w:tc>
          <w:tcPr>
            <w:tcW w:type="dxa" w:w="2000"/>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MBSParser (P2) | MBS loads + connection schedule partially absent → FB-RULE-016 + FB-RULE-021</w:t>
            </w:r>
          </w:p>
        </w:tc>
        <w:tc>
          <w:tcPr>
            <w:tcW w:type="dxa" w:w="216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Mid-complexity: built-up section name-only, partial MBS</w:t>
            </w:r>
          </w:p>
        </w:tc>
      </w:tr>
      <w:tr>
        <w:tc>
          <w:tcPr>
            <w:tcW w:type="dxa" w:w="1200"/>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BM-003</w:t>
            </w:r>
          </w:p>
        </w:tc>
        <w:tc>
          <w:tcPr>
            <w:tcW w:type="dxa" w:w="20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STAAD</w:t>
            </w:r>
          </w:p>
        </w:tc>
        <w:tc>
          <w:tcPr>
            <w:tcW w:type="dxa" w:w="20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Industrial structure with detailed bolt table</w:t>
            </w:r>
          </w:p>
        </w:tc>
        <w:tc>
          <w:tcPr>
            <w:tcW w:type="dxa" w:w="2000"/>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STAADParser (P1) primary | Conflict with PDF grid spacing (P7)</w:t>
            </w:r>
          </w:p>
        </w:tc>
        <w:tc>
          <w:tcPr>
            <w:tcW w:type="dxa" w:w="216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STAAD P1 priority; bolt table validation; conflict resolution R-165</w:t>
            </w:r>
          </w:p>
        </w:tc>
      </w:tr>
      <w:tr>
        <w:tc>
          <w:tcPr>
            <w:tcW w:type="dxa" w:w="1200"/>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BM-004</w:t>
            </w:r>
          </w:p>
        </w:tc>
        <w:tc>
          <w:tcPr>
            <w:tcW w:type="dxa" w:w="200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ETABS / Prota</w:t>
            </w:r>
          </w:p>
        </w:tc>
        <w:tc>
          <w:tcPr>
            <w:tcW w:type="dxa" w:w="200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RC-frame podium with steel superstructure</w:t>
            </w:r>
          </w:p>
        </w:tc>
        <w:tc>
          <w:tcPr>
            <w:tcW w:type="dxa" w:w="2000"/>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ETABSParser (P3) | ProtaParser DXF (P4) + PDF loads (P5)</w:t>
            </w:r>
          </w:p>
        </w:tc>
        <w:tc>
          <w:tcPr>
            <w:tcW w:type="dxa" w:w="216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Non-MBS path; member-grid mapping; AB generation from Prota</w:t>
            </w:r>
          </w:p>
        </w:tc>
      </w:tr>
      <w:tr>
        <w:tc>
          <w:tcPr>
            <w:tcW w:type="dxa" w:w="1200"/>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BM-005</w:t>
            </w:r>
          </w:p>
        </w:tc>
        <w:tc>
          <w:tcPr>
            <w:tcW w:type="dxa" w:w="20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Complex PEB / Multi-span / Built-up / Crane</w:t>
            </w:r>
          </w:p>
        </w:tc>
        <w:tc>
          <w:tcPr>
            <w:tcW w:type="dxa" w:w="20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Multi-span PEB with crane gantry &amp; built-up columns</w:t>
            </w:r>
          </w:p>
        </w:tc>
        <w:tc>
          <w:tcPr>
            <w:tcW w:type="dxa" w:w="2000"/>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MBSParser (P2) → ETABS fallback (P3) → Manual (P5) | FB-RULE-013/016/021/022 all triggered</w:t>
            </w:r>
          </w:p>
        </w:tc>
        <w:tc>
          <w:tcPr>
            <w:tcW w:type="dxa" w:w="216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Maximum stress job: built-up sections + crane data (R-153) + fallback chain</w:t>
            </w:r>
          </w:p>
        </w:tc>
      </w:tr>
    </w:tbl>
    <w:p>
      <w:pPr>
        <w:spacing w:after="80"/>
      </w:pPr>
    </w:p>
    <w:p>
      <w:pPr>
        <w:spacing w:after="160"/>
        <w:jc w:val="left"/>
      </w:pPr>
      <w:r>
        <w:rPr>
          <w:rFonts w:ascii="Arial" w:cs="Arial" w:eastAsia="Arial" w:hAnsi="Arial"/>
          <w:b/>
          <w:bCs/>
          <w:i w:val="false"/>
          <w:iCs w:val="false"/>
          <w:color w:val="1F3864"/>
          <w:sz w:val="20"/>
          <w:szCs w:val="20"/>
        </w:rPr>
        <w:t xml:space="preserve">⚠  STRICT RULES COMPLIANCE CHECK:</w:t>
      </w:r>
    </w:p>
    <w:p>
      <w:pPr>
        <w:spacing w:after="160"/>
        <w:jc w:val="left"/>
      </w:pPr>
      <w:r>
        <w:rPr>
          <w:rFonts w:ascii="Arial" w:cs="Arial" w:eastAsia="Arial" w:hAnsi="Arial"/>
          <w:b w:val="false"/>
          <w:bCs w:val="false"/>
          <w:i w:val="false"/>
          <w:iCs w:val="false"/>
          <w:color w:val="000000"/>
          <w:sz w:val="19"/>
          <w:szCs w:val="19"/>
        </w:rPr>
        <w:t xml:space="preserve">✓  Non-MBS jobs: BM-003 (STAAD), BM-004 (ETABS/Prota) — 2 of 5 are non-MBS.</w:t>
      </w:r>
    </w:p>
    <w:p>
      <w:pPr>
        <w:spacing w:after="160"/>
        <w:jc w:val="left"/>
      </w:pPr>
      <w:r>
        <w:rPr>
          <w:rFonts w:ascii="Arial" w:cs="Arial" w:eastAsia="Arial" w:hAnsi="Arial"/>
          <w:b w:val="false"/>
          <w:bCs w:val="false"/>
          <w:i w:val="false"/>
          <w:iCs w:val="false"/>
          <w:color w:val="000000"/>
          <w:sz w:val="19"/>
          <w:szCs w:val="19"/>
        </w:rPr>
        <w:t xml:space="preserve">✓  Complex PEB stress job: BM-005 — multi-span, crane, built-up, full fallback chain.</w:t>
      </w:r>
    </w:p>
    <w:p>
      <w:pPr>
        <w:spacing w:after="160"/>
        <w:jc w:val="left"/>
      </w:pPr>
      <w:r>
        <w:rPr>
          <w:rFonts w:ascii="Arial" w:cs="Arial" w:eastAsia="Arial" w:hAnsi="Arial"/>
          <w:b w:val="false"/>
          <w:bCs w:val="false"/>
          <w:i w:val="false"/>
          <w:iCs w:val="false"/>
          <w:color w:val="000000"/>
          <w:sz w:val="19"/>
          <w:szCs w:val="19"/>
        </w:rPr>
        <w:t xml:space="preserve">✓  Difficulty spread: BM-001 (simple) → BM-002 (medium) → BM-003/004 (specialist) → BM-005 (maximum).</w:t>
      </w:r>
    </w:p>
    <w:p>
      <w:pPr>
        <w:spacing w:after="80"/>
      </w:pP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Arial" w:cs="Arial" w:eastAsia="Arial" w:hAnsi="Arial"/>
                <w:b/>
                <w:bCs/>
                <w:color w:val="FFFFFF"/>
                <w:sz w:val="24"/>
                <w:szCs w:val="24"/>
              </w:rPr>
              <w:t xml:space="preserve">SECTION 2 — JOB-BY-JOB CLASSIFICATION &amp; SCORING</w:t>
            </w:r>
          </w:p>
        </w:tc>
      </w:tr>
    </w:tbl>
    <w:p>
      <w:pPr>
        <w:spacing w:after="80"/>
      </w:pPr>
    </w:p>
    <w:p>
      <w:pPr>
        <w:spacing w:after="160"/>
        <w:jc w:val="left"/>
      </w:pPr>
      <w:r>
        <w:rPr>
          <w:rFonts w:ascii="Arial" w:cs="Arial" w:eastAsia="Arial" w:hAnsi="Arial"/>
          <w:b w:val="false"/>
          <w:bCs w:val="false"/>
          <w:i w:val="false"/>
          <w:iCs w:val="false"/>
          <w:color w:val="000000"/>
          <w:sz w:val="20"/>
          <w:szCs w:val="20"/>
        </w:rPr>
        <w:t xml:space="preserve">Each job is scored 1–5 on six dimensions. Scores ≥4 = GREEN, 3 = AMBER, ≤2 = RED. No single job is required to score high on every dimension — the SET must collectively achieve full coverage.</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1600"/>
        <w:gridCol w:w="1600"/>
        <w:gridCol w:w="1600"/>
        <w:gridCol w:w="1600"/>
        <w:gridCol w:w="1600"/>
      </w:tblGrid>
      <w:tr>
        <w:trPr>
          <w:tblHeader/>
        </w:trPr>
        <w:tc>
          <w:tcPr>
            <w:tcW w:type="dxa" w:w="2160"/>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Scoring Criterion</w:t>
            </w:r>
          </w:p>
        </w:tc>
        <w:tc>
          <w:tcPr>
            <w:tcW w:type="dxa" w:w="1600"/>
            <w:shd w:fill="4472C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BM-001
Simple MBS</w:t>
            </w:r>
          </w:p>
        </w:tc>
        <w:tc>
          <w:tcPr>
            <w:tcW w:type="dxa" w:w="1600"/>
            <w:shd w:fill="4472C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BM-002
Medium MBS</w:t>
            </w:r>
          </w:p>
        </w:tc>
        <w:tc>
          <w:tcPr>
            <w:tcW w:type="dxa" w:w="1600"/>
            <w:shd w:fill="4472C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BM-003
STAAD</w:t>
            </w:r>
          </w:p>
        </w:tc>
        <w:tc>
          <w:tcPr>
            <w:tcW w:type="dxa" w:w="1600"/>
            <w:shd w:fill="4472C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BM-004
ETABS/Prota</w:t>
            </w:r>
          </w:p>
        </w:tc>
        <w:tc>
          <w:tcPr>
            <w:tcW w:type="dxa" w:w="1600"/>
            <w:shd w:fill="4472C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BM-005
Complex PEB</w:t>
            </w:r>
          </w:p>
        </w:tc>
      </w:tr>
      <w:tr>
        <w:tc>
          <w:tcPr>
            <w:tcW w:type="dxa" w:w="2160"/>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Source Quality (1–5)</w:t>
            </w:r>
          </w:p>
        </w:tc>
        <w:tc>
          <w:tcPr>
            <w:tcW w:type="dxa" w:w="16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5</w:t>
            </w:r>
          </w:p>
        </w:tc>
        <w:tc>
          <w:tcPr>
            <w:tcW w:type="dxa" w:w="16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4</w:t>
            </w:r>
          </w:p>
        </w:tc>
        <w:tc>
          <w:tcPr>
            <w:tcW w:type="dxa" w:w="16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5</w:t>
            </w:r>
          </w:p>
        </w:tc>
        <w:tc>
          <w:tcPr>
            <w:tcW w:type="dxa" w:w="16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4</w:t>
            </w:r>
          </w:p>
        </w:tc>
        <w:tc>
          <w:tcPr>
            <w:tcW w:type="dxa" w:w="1600"/>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w:t>
            </w:r>
          </w:p>
        </w:tc>
      </w:tr>
      <w:tr>
        <w:tc>
          <w:tcPr>
            <w:tcW w:type="dxa" w:w="2160"/>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Revision Clarity (1–5)</w:t>
            </w:r>
          </w:p>
        </w:tc>
        <w:tc>
          <w:tcPr>
            <w:tcW w:type="dxa" w:w="16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5</w:t>
            </w:r>
          </w:p>
        </w:tc>
        <w:tc>
          <w:tcPr>
            <w:tcW w:type="dxa" w:w="16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4</w:t>
            </w:r>
          </w:p>
        </w:tc>
        <w:tc>
          <w:tcPr>
            <w:tcW w:type="dxa" w:w="16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5</w:t>
            </w:r>
          </w:p>
        </w:tc>
        <w:tc>
          <w:tcPr>
            <w:tcW w:type="dxa" w:w="1600"/>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w:t>
            </w:r>
          </w:p>
        </w:tc>
        <w:tc>
          <w:tcPr>
            <w:tcW w:type="dxa" w:w="1600"/>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w:t>
            </w:r>
          </w:p>
        </w:tc>
      </w:tr>
      <w:tr>
        <w:tc>
          <w:tcPr>
            <w:tcW w:type="dxa" w:w="2160"/>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AB/GA Readiness (1–5)</w:t>
            </w:r>
          </w:p>
        </w:tc>
        <w:tc>
          <w:tcPr>
            <w:tcW w:type="dxa" w:w="16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5</w:t>
            </w:r>
          </w:p>
        </w:tc>
        <w:tc>
          <w:tcPr>
            <w:tcW w:type="dxa" w:w="16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4</w:t>
            </w:r>
          </w:p>
        </w:tc>
        <w:tc>
          <w:tcPr>
            <w:tcW w:type="dxa" w:w="16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5</w:t>
            </w:r>
          </w:p>
        </w:tc>
        <w:tc>
          <w:tcPr>
            <w:tcW w:type="dxa" w:w="1600"/>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w:t>
            </w:r>
          </w:p>
        </w:tc>
        <w:tc>
          <w:tcPr>
            <w:tcW w:type="dxa" w:w="1600"/>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w:t>
            </w:r>
          </w:p>
        </w:tc>
      </w:tr>
      <w:tr>
        <w:tc>
          <w:tcPr>
            <w:tcW w:type="dxa" w:w="2160"/>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Geometry Complexity (1–5)</w:t>
            </w:r>
          </w:p>
        </w:tc>
        <w:tc>
          <w:tcPr>
            <w:tcW w:type="dxa" w:w="1600"/>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w:t>
            </w:r>
          </w:p>
        </w:tc>
        <w:tc>
          <w:tcPr>
            <w:tcW w:type="dxa" w:w="1600"/>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w:t>
            </w:r>
          </w:p>
        </w:tc>
        <w:tc>
          <w:tcPr>
            <w:tcW w:type="dxa" w:w="1600"/>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w:t>
            </w:r>
          </w:p>
        </w:tc>
        <w:tc>
          <w:tcPr>
            <w:tcW w:type="dxa" w:w="16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4</w:t>
            </w:r>
          </w:p>
        </w:tc>
        <w:tc>
          <w:tcPr>
            <w:tcW w:type="dxa" w:w="16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5</w:t>
            </w:r>
          </w:p>
        </w:tc>
      </w:tr>
      <w:tr>
        <w:tc>
          <w:tcPr>
            <w:tcW w:type="dxa" w:w="2160"/>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Parser Validation Value (1–5)</w:t>
            </w:r>
          </w:p>
        </w:tc>
        <w:tc>
          <w:tcPr>
            <w:tcW w:type="dxa" w:w="1600"/>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w:t>
            </w:r>
          </w:p>
        </w:tc>
        <w:tc>
          <w:tcPr>
            <w:tcW w:type="dxa" w:w="16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4</w:t>
            </w:r>
          </w:p>
        </w:tc>
        <w:tc>
          <w:tcPr>
            <w:tcW w:type="dxa" w:w="16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5</w:t>
            </w:r>
          </w:p>
        </w:tc>
        <w:tc>
          <w:tcPr>
            <w:tcW w:type="dxa" w:w="16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5</w:t>
            </w:r>
          </w:p>
        </w:tc>
        <w:tc>
          <w:tcPr>
            <w:tcW w:type="dxa" w:w="16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5</w:t>
            </w:r>
          </w:p>
        </w:tc>
      </w:tr>
      <w:tr>
        <w:tc>
          <w:tcPr>
            <w:tcW w:type="dxa" w:w="2160"/>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Fallback Validation Value (1–5)</w:t>
            </w:r>
          </w:p>
        </w:tc>
        <w:tc>
          <w:tcPr>
            <w:tcW w:type="dxa" w:w="1600"/>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w:t>
            </w:r>
          </w:p>
        </w:tc>
        <w:tc>
          <w:tcPr>
            <w:tcW w:type="dxa" w:w="16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4</w:t>
            </w:r>
          </w:p>
        </w:tc>
        <w:tc>
          <w:tcPr>
            <w:tcW w:type="dxa" w:w="1600"/>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w:t>
            </w:r>
          </w:p>
        </w:tc>
        <w:tc>
          <w:tcPr>
            <w:tcW w:type="dxa" w:w="16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4</w:t>
            </w:r>
          </w:p>
        </w:tc>
        <w:tc>
          <w:tcPr>
            <w:tcW w:type="dxa" w:w="16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5</w:t>
            </w:r>
          </w:p>
        </w:tc>
      </w:tr>
      <w:tr>
        <w:tc>
          <w:tcPr>
            <w:tcW w:type="dxa" w:w="2160"/>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TOTAL / 30</w:t>
            </w:r>
          </w:p>
        </w:tc>
        <w:tc>
          <w:tcPr>
            <w:tcW w:type="dxa" w:w="1600"/>
            <w:shd w:fill="2E75B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22</w:t>
            </w:r>
          </w:p>
        </w:tc>
        <w:tc>
          <w:tcPr>
            <w:tcW w:type="dxa" w:w="1600"/>
            <w:shd w:fill="2E75B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23</w:t>
            </w:r>
          </w:p>
        </w:tc>
        <w:tc>
          <w:tcPr>
            <w:tcW w:type="dxa" w:w="1600"/>
            <w:shd w:fill="2E75B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26</w:t>
            </w:r>
          </w:p>
        </w:tc>
        <w:tc>
          <w:tcPr>
            <w:tcW w:type="dxa" w:w="1600"/>
            <w:shd w:fill="2E75B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23</w:t>
            </w:r>
          </w:p>
        </w:tc>
        <w:tc>
          <w:tcPr>
            <w:tcW w:type="dxa" w:w="1600"/>
            <w:shd w:fill="2E75B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23</w:t>
            </w:r>
          </w:p>
        </w:tc>
      </w:tr>
    </w:tbl>
    <w:p>
      <w:pPr>
        <w:spacing w:after="80"/>
      </w:pPr>
    </w:p>
    <w:p>
      <w:pPr>
        <w:pStyle w:val="Heading3"/>
        <w:spacing w:after="100" w:before="180"/>
      </w:pPr>
      <w:r>
        <w:rPr>
          <w:rFonts w:ascii="Arial" w:cs="Arial" w:eastAsia="Arial" w:hAnsi="Arial"/>
          <w:b/>
          <w:bCs/>
          <w:color w:val="4472C4"/>
          <w:sz w:val="22"/>
          <w:szCs w:val="22"/>
        </w:rPr>
        <w:t xml:space="preserve">Score Rationale Notes</w:t>
      </w:r>
    </w:p>
    <w:p>
      <w:pPr>
        <w:spacing w:after="160"/>
        <w:jc w:val="left"/>
      </w:pPr>
      <w:r>
        <w:rPr>
          <w:rFonts w:ascii="Arial" w:cs="Arial" w:eastAsia="Arial" w:hAnsi="Arial"/>
          <w:b w:val="false"/>
          <w:bCs w:val="false"/>
          <w:i w:val="false"/>
          <w:iCs w:val="false"/>
          <w:color w:val="000000"/>
          <w:sz w:val="19"/>
          <w:szCs w:val="19"/>
        </w:rPr>
        <w:t xml:space="preserve">BM-001 (Simple MBS): High source quality and clarity; low geometry complexity and fallback value — deliberately. It is the clean baseline to confirm the parser happy path works before stress.</w:t>
      </w:r>
    </w:p>
    <w:p>
      <w:pPr>
        <w:spacing w:after="160"/>
        <w:jc w:val="left"/>
      </w:pPr>
      <w:r>
        <w:rPr>
          <w:rFonts w:ascii="Arial" w:cs="Arial" w:eastAsia="Arial" w:hAnsi="Arial"/>
          <w:b w:val="false"/>
          <w:bCs w:val="false"/>
          <w:i w:val="false"/>
          <w:iCs w:val="false"/>
          <w:color w:val="000000"/>
          <w:sz w:val="19"/>
          <w:szCs w:val="19"/>
        </w:rPr>
        <w:t xml:space="preserve">BM-002 (Medium MBS): Built-up section name-only (FB-RULE-021) plus partial connection schedule triggers both MBS parser stress and fallback to ETABS. This is the 'reveal edge-cases early' job.</w:t>
      </w:r>
    </w:p>
    <w:p>
      <w:pPr>
        <w:spacing w:after="160"/>
        <w:jc w:val="left"/>
      </w:pPr>
      <w:r>
        <w:rPr>
          <w:rFonts w:ascii="Arial" w:cs="Arial" w:eastAsia="Arial" w:hAnsi="Arial"/>
          <w:b w:val="false"/>
          <w:bCs w:val="false"/>
          <w:i w:val="false"/>
          <w:iCs w:val="false"/>
          <w:color w:val="000000"/>
          <w:sz w:val="19"/>
          <w:szCs w:val="19"/>
        </w:rPr>
        <w:t xml:space="preserve">BM-003 (STAAD): Highest parser validation value. Full .std file with a bolt table conflict vs the PDF drawing tests ConflictResolver (P1 wins, R-165 logged). Bolt grade absent also tested (FB-RULE-013).</w:t>
      </w:r>
    </w:p>
    <w:p>
      <w:pPr>
        <w:spacing w:after="160"/>
        <w:jc w:val="left"/>
      </w:pPr>
      <w:r>
        <w:rPr>
          <w:rFonts w:ascii="Arial" w:cs="Arial" w:eastAsia="Arial" w:hAnsi="Arial"/>
          <w:b w:val="false"/>
          <w:bCs w:val="false"/>
          <w:i w:val="false"/>
          <w:iCs w:val="false"/>
          <w:color w:val="000000"/>
          <w:sz w:val="19"/>
          <w:szCs w:val="19"/>
        </w:rPr>
        <w:t xml:space="preserve">BM-004 (ETABS/Prota): Tests the non-MBS pipeline: ETABSParser P3 for sections + ProtaParser P4 DXF for geometry + ProtaParser P5 PDF for loads. FB-RULE-022 triggered if Prota PDF is absent.</w:t>
      </w:r>
    </w:p>
    <w:p>
      <w:pPr>
        <w:spacing w:after="160"/>
        <w:jc w:val="left"/>
      </w:pPr>
      <w:r>
        <w:rPr>
          <w:rFonts w:ascii="Arial" w:cs="Arial" w:eastAsia="Arial" w:hAnsi="Arial"/>
          <w:b w:val="false"/>
          <w:bCs w:val="false"/>
          <w:i w:val="false"/>
          <w:iCs w:val="false"/>
          <w:color w:val="000000"/>
          <w:sz w:val="19"/>
          <w:szCs w:val="19"/>
        </w:rPr>
        <w:t xml:space="preserve">BM-005 (Complex PEB): Deliberately scored 3 on source quality and AB readiness — the job has deliberate input gaps (no bolt grade, built-up plate dims absent, crane data partial) to fire the full fallback chain and release-blocker stack.</w:t>
      </w:r>
    </w:p>
    <w:p>
      <w:pPr>
        <w:spacing w:after="80"/>
      </w:pP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Arial" w:cs="Arial" w:eastAsia="Arial" w:hAnsi="Arial"/>
                <w:b/>
                <w:bCs/>
                <w:color w:val="FFFFFF"/>
                <w:sz w:val="24"/>
                <w:szCs w:val="24"/>
              </w:rPr>
              <w:t xml:space="preserve">SECTION 3 — COVERAGE MATRIX</w:t>
            </w:r>
          </w:p>
        </w:tc>
      </w:tr>
    </w:tbl>
    <w:p>
      <w:pPr>
        <w:spacing w:after="80"/>
      </w:pPr>
    </w:p>
    <w:p>
      <w:pPr>
        <w:spacing w:after="160"/>
        <w:jc w:val="left"/>
      </w:pPr>
      <w:r>
        <w:rPr>
          <w:rFonts w:ascii="Arial" w:cs="Arial" w:eastAsia="Arial" w:hAnsi="Arial"/>
          <w:b w:val="false"/>
          <w:bCs w:val="false"/>
          <w:i/>
          <w:iCs/>
          <w:color w:val="000000"/>
          <w:sz w:val="19"/>
          <w:szCs w:val="19"/>
        </w:rPr>
        <w:t xml:space="preserve">Legend:  ✓ = Fully covered by this job   ~  = Partially covered / triggered conditionally   — = Not covered (covered by another job)</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900"/>
        <w:gridCol w:w="900"/>
        <w:gridCol w:w="900"/>
        <w:gridCol w:w="900"/>
      </w:tblGrid>
      <w:tr>
        <w:trPr>
          <w:tblHeader/>
        </w:trPr>
        <w:tc>
          <w:tcPr>
            <w:tcW w:type="dxa" w:w="3200"/>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Coverage Feature</w:t>
            </w:r>
          </w:p>
        </w:tc>
        <w:tc>
          <w:tcPr>
            <w:tcW w:type="dxa" w:w="900"/>
            <w:shd w:fill="4472C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BM-001</w:t>
            </w:r>
          </w:p>
        </w:tc>
        <w:tc>
          <w:tcPr>
            <w:tcW w:type="dxa" w:w="900"/>
            <w:shd w:fill="4472C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BM-002</w:t>
            </w:r>
          </w:p>
        </w:tc>
        <w:tc>
          <w:tcPr>
            <w:tcW w:type="dxa" w:w="900"/>
            <w:shd w:fill="4472C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BM-003</w:t>
            </w:r>
          </w:p>
        </w:tc>
        <w:tc>
          <w:tcPr>
            <w:tcW w:type="dxa" w:w="900"/>
            <w:shd w:fill="4472C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BM-004</w:t>
            </w:r>
          </w:p>
        </w:tc>
        <w:tc>
          <w:tcPr>
            <w:tcW w:type="dxa" w:w="900"/>
            <w:shd w:fill="4472C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BM-005</w:t>
            </w:r>
          </w:p>
        </w:tc>
      </w:tr>
      <w:tr>
        <w:tc>
          <w:tcPr>
            <w:tcW w:type="dxa" w:w="10080"/>
            <w:gridSpan w:val="6"/>
            <w:tcBorders>
              <w:top w:val="single" w:color="2E75B6" w:sz="4"/>
              <w:left w:val="single" w:color="2E75B6" w:sz="4"/>
              <w:bottom w:val="single" w:color="2E75B6" w:sz="4"/>
              <w:right w:val="single" w:color="2E75B6" w:sz="4"/>
            </w:tcBorders>
            <w:shd w:fill="BDD7EE"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PARSER COVERAGE</w:t>
            </w:r>
          </w:p>
        </w:tc>
      </w:tr>
      <w:tr>
        <w:tc>
          <w:tcPr>
            <w:tcW w:type="dxa" w:w="320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MBSParser (P2) — standard IS sections</w:t>
            </w:r>
          </w:p>
        </w:tc>
        <w:tc>
          <w:tcPr>
            <w:tcW w:type="dxa" w:w="9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c>
          <w:tcPr>
            <w:tcW w:type="dxa" w:w="9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r>
      <w:tr>
        <w:tc>
          <w:tcPr>
            <w:tcW w:type="dxa" w:w="32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MBSParser (P2) — built-up section (FB-RULE-021)</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r>
      <w:tr>
        <w:tc>
          <w:tcPr>
            <w:tcW w:type="dxa" w:w="320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STAADParser (P1) — full bolt table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32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STAADParser (P1) — bolt grade absent (FB-RULE-013)</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r>
      <w:tr>
        <w:tc>
          <w:tcPr>
            <w:tcW w:type="dxa" w:w="320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ETABSParser (P3) — story/section/reactions</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c>
          <w:tcPr>
            <w:tcW w:type="dxa" w:w="9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r>
      <w:tr>
        <w:tc>
          <w:tcPr>
            <w:tcW w:type="dxa" w:w="32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ETABSParser (P3) — member-grid unmapped (FB-RULE-018)</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r>
      <w:tr>
        <w:tc>
          <w:tcPr>
            <w:tcW w:type="dxa" w:w="320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ProtaParser (P4) — DXF geometry</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32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ProtaParser (P5/P4) — PDF loads present</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320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ProtaParser — PDF absent (FB-RULE-022)</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r>
      <w:tr>
        <w:tc>
          <w:tcPr>
            <w:tcW w:type="dxa" w:w="32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PDFTextParser (P7) — conflict with P1</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320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PDFImageParser (P8) — OCR low confidence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10080"/>
            <w:gridSpan w:val="6"/>
            <w:tcBorders>
              <w:top w:val="single" w:color="2E75B6" w:sz="4"/>
              <w:left w:val="single" w:color="2E75B6" w:sz="4"/>
              <w:bottom w:val="single" w:color="2E75B6" w:sz="4"/>
              <w:right w:val="single" w:color="2E75B6" w:sz="4"/>
            </w:tcBorders>
            <w:shd w:fill="BDD7EE"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FALLBACK &amp; CONFLICT COVERAGE</w:t>
            </w:r>
          </w:p>
        </w:tc>
      </w:tr>
      <w:tr>
        <w:tc>
          <w:tcPr>
            <w:tcW w:type="dxa" w:w="320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ConflictResolver: P1 wins over P7 (R-165)</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32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FB-RULE-016: MBS loads absent → ETABS fallback</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r>
      <w:tr>
        <w:tc>
          <w:tcPr>
            <w:tcW w:type="dxa" w:w="320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FB-RULE-013/014: Bolt table incomplete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r>
      <w:tr>
        <w:tc>
          <w:tcPr>
            <w:tcW w:type="dxa" w:w="32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FB-RULE-021: Built-up plate dims → DE required</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r>
      <w:tr>
        <w:tc>
          <w:tcPr>
            <w:tcW w:type="dxa" w:w="320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FB-RULE-022: Prota PDF absent → AB blocked</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r>
      <w:tr>
        <w:tc>
          <w:tcPr>
            <w:tcW w:type="dxa" w:w="32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Full P1→P2→P3→P5 chain executed</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r>
      <w:tr>
        <w:tc>
          <w:tcPr>
            <w:tcW w:type="dxa" w:w="10080"/>
            <w:gridSpan w:val="6"/>
            <w:tcBorders>
              <w:top w:val="single" w:color="2E75B6" w:sz="4"/>
              <w:left w:val="single" w:color="2E75B6" w:sz="4"/>
              <w:bottom w:val="single" w:color="2E75B6" w:sz="4"/>
              <w:right w:val="single" w:color="2E75B6" w:sz="4"/>
            </w:tcBorders>
            <w:shd w:fill="BDD7EE"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RULE ENGINE COVERAGE</w:t>
            </w:r>
          </w:p>
        </w:tc>
      </w:tr>
      <w:tr>
        <w:tc>
          <w:tcPr>
            <w:tcW w:type="dxa" w:w="32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L0 — Source priority pre-check</w:t>
            </w:r>
          </w:p>
        </w:tc>
        <w:tc>
          <w:tcPr>
            <w:tcW w:type="dxa" w:w="9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c>
          <w:tcPr>
            <w:tcW w:type="dxa" w:w="9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c>
          <w:tcPr>
            <w:tcW w:type="dxa" w:w="9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c>
          <w:tcPr>
            <w:tcW w:type="dxa" w:w="9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c>
          <w:tcPr>
            <w:tcW w:type="dxa" w:w="9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r>
      <w:tr>
        <w:tc>
          <w:tcPr>
            <w:tcW w:type="dxa" w:w="320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L1 — Completeness (mandatory fields NULL)</w:t>
            </w:r>
          </w:p>
        </w:tc>
        <w:tc>
          <w:tcPr>
            <w:tcW w:type="dxa" w:w="9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c>
          <w:tcPr>
            <w:tcW w:type="dxa" w:w="9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c>
          <w:tcPr>
            <w:tcW w:type="dxa" w:w="9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c>
          <w:tcPr>
            <w:tcW w:type="dxa" w:w="9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c>
          <w:tcPr>
            <w:tcW w:type="dxa" w:w="9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r>
      <w:tr>
        <w:tc>
          <w:tcPr>
            <w:tcW w:type="dxa" w:w="32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L8 — Cross-field: crane safety (R-153)</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r>
      <w:tr>
        <w:tc>
          <w:tcPr>
            <w:tcW w:type="dxa" w:w="320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L8 — Cross-field: bolt spacing (R-155)</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r>
      <w:tr>
        <w:tc>
          <w:tcPr>
            <w:tcW w:type="dxa" w:w="32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L10 — S4 hard gate FAIL scenario</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r>
      <w:tr>
        <w:tc>
          <w:tcPr>
            <w:tcW w:type="dxa" w:w="320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L12 — Fallback chain enforcement</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c>
          <w:tcPr>
            <w:tcW w:type="dxa" w:w="9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r>
      <w:tr>
        <w:tc>
          <w:tcPr>
            <w:tcW w:type="dxa" w:w="32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L13 — Geometry reconciliation (RC-001–RC-022)</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c>
          <w:tcPr>
            <w:tcW w:type="dxa" w:w="9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c>
          <w:tcPr>
            <w:tcW w:type="dxa" w:w="9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r>
      <w:tr>
        <w:tc>
          <w:tcPr>
            <w:tcW w:type="dxa" w:w="10080"/>
            <w:gridSpan w:val="6"/>
            <w:tcBorders>
              <w:top w:val="single" w:color="2E75B6" w:sz="4"/>
              <w:left w:val="single" w:color="2E75B6" w:sz="4"/>
              <w:bottom w:val="single" w:color="2E75B6" w:sz="4"/>
              <w:right w:val="single" w:color="2E75B6" w:sz="4"/>
            </w:tcBorders>
            <w:shd w:fill="BDD7EE"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GEOMETRY COVERAGE</w:t>
            </w:r>
          </w:p>
        </w:tc>
      </w:tr>
      <w:tr>
        <w:tc>
          <w:tcPr>
            <w:tcW w:type="dxa" w:w="32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Simple single-span, standard sections</w:t>
            </w:r>
          </w:p>
        </w:tc>
        <w:tc>
          <w:tcPr>
            <w:tcW w:type="dxa" w:w="9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320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Multi-bay with mezzanine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32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Industrial frame with grid conflicts</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320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RC podium + steel superstructure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32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Multi-span PEB + crane + built-up columns</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r>
      <w:tr>
        <w:tc>
          <w:tcPr>
            <w:tcW w:type="dxa" w:w="10080"/>
            <w:gridSpan w:val="6"/>
            <w:tcBorders>
              <w:top w:val="single" w:color="2E75B6" w:sz="4"/>
              <w:left w:val="single" w:color="2E75B6" w:sz="4"/>
              <w:bottom w:val="single" w:color="2E75B6" w:sz="4"/>
              <w:right w:val="single" w:color="2E75B6" w:sz="4"/>
            </w:tcBorders>
            <w:shd w:fill="BDD7EE"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OUTPUT COVERAGE</w:t>
            </w:r>
          </w:p>
        </w:tc>
      </w:tr>
      <w:tr>
        <w:tc>
          <w:tcPr>
            <w:tcW w:type="dxa" w:w="32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AB readiness confirmed (all governing fields POPULATED)</w:t>
            </w:r>
          </w:p>
        </w:tc>
        <w:tc>
          <w:tcPr>
            <w:tcW w:type="dxa" w:w="9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c>
          <w:tcPr>
            <w:tcW w:type="dxa" w:w="900"/>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320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AB blocked scenario (release-blocker present)</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r>
      <w:tr>
        <w:tc>
          <w:tcPr>
            <w:tcW w:type="dxa" w:w="32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GA readiness with full source traceability</w:t>
            </w:r>
          </w:p>
        </w:tc>
        <w:tc>
          <w:tcPr>
            <w:tcW w:type="dxa" w:w="9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320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Partial GA (some UNRESOLVED, manual review pending)</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c>
          <w:tcPr>
            <w:tcW w:type="dxa" w:w="900"/>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9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c>
          <w:tcPr>
            <w:tcW w:type="dxa" w:w="900"/>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r>
    </w:tbl>
    <w:p>
      <w:pPr>
        <w:spacing w:after="80"/>
      </w:pPr>
    </w:p>
    <w:p>
      <w:pPr>
        <w:spacing w:after="160"/>
        <w:jc w:val="left"/>
      </w:pPr>
      <w:r>
        <w:rPr>
          <w:rFonts w:ascii="Arial" w:cs="Arial" w:eastAsia="Arial" w:hAnsi="Arial"/>
          <w:b w:val="false"/>
          <w:bCs w:val="false"/>
          <w:i w:val="false"/>
          <w:iCs w:val="false"/>
          <w:color w:val="000000"/>
          <w:sz w:val="19"/>
          <w:szCs w:val="19"/>
        </w:rPr>
        <w:t xml:space="preserve">Coverage Summary: The 5-job set collectively covers all 8 parser adapters (MBS, STAAD, ETABS, Prota DXF, Prota PDF, PDFText, PDFImage path via BM-005 fallback, ArchiveExtractor — tested in unit layer), all 22 FB-RULE fallback rules (triggered across BM-002/003/004/005), all 13 rule engine layers (L0–L13), all 22 RC geometry rules (exercised across BM-003/004/005), and all 3 output states (POPULATED / UNRESOLVED / DERIVED_BROKEN).</w:t>
      </w:r>
    </w:p>
    <w:p>
      <w:pPr>
        <w:spacing w:after="80"/>
      </w:pP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Arial" w:cs="Arial" w:eastAsia="Arial" w:hAnsi="Arial"/>
                <w:b/>
                <w:bCs/>
                <w:color w:val="FFFFFF"/>
                <w:sz w:val="24"/>
                <w:szCs w:val="24"/>
              </w:rPr>
              <w:t xml:space="preserve">SECTION 4 — EXECUTION ORDER</w:t>
            </w:r>
          </w:p>
        </w:tc>
      </w:tr>
    </w:tbl>
    <w:p>
      <w:pPr>
        <w:spacing w:after="80"/>
      </w:pPr>
    </w:p>
    <w:p>
      <w:pPr>
        <w:spacing w:after="160"/>
        <w:jc w:val="left"/>
      </w:pPr>
      <w:r>
        <w:rPr>
          <w:rFonts w:ascii="Arial" w:cs="Arial" w:eastAsia="Arial" w:hAnsi="Arial"/>
          <w:b w:val="false"/>
          <w:bCs w:val="false"/>
          <w:i w:val="false"/>
          <w:iCs w:val="false"/>
          <w:color w:val="000000"/>
          <w:sz w:val="20"/>
          <w:szCs w:val="20"/>
        </w:rPr>
        <w:t xml:space="preserve">Execution order is deliberate: simple→structured→complex, with each run building on evidence from the prior run. Run 1 must pass cleanly before Run 2 begins. If Run 2 fails on ConflictResolver, that defect is logged and Runs 3–5 proceed (unless the defect blocks the parser integration layer entirely — in which case the QA Lead calls a hold).</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2400"/>
        <w:gridCol w:w="2760"/>
        <w:gridCol w:w="2100"/>
      </w:tblGrid>
      <w:tr>
        <w:trPr>
          <w:tblHeader/>
        </w:trPr>
        <w:tc>
          <w:tcPr>
            <w:tcW w:type="dxa" w:w="900"/>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Run #</w:t>
            </w:r>
          </w:p>
        </w:tc>
        <w:tc>
          <w:tcPr>
            <w:tcW w:type="dxa" w:w="1200"/>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Job ID</w:t>
            </w:r>
          </w:p>
        </w:tc>
        <w:tc>
          <w:tcPr>
            <w:tcW w:type="dxa" w:w="2400"/>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Job</w:t>
            </w:r>
          </w:p>
        </w:tc>
        <w:tc>
          <w:tcPr>
            <w:tcW w:type="dxa" w:w="2760"/>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Execution Objective &amp; Expected Outcome</w:t>
            </w:r>
          </w:p>
        </w:tc>
        <w:tc>
          <w:tcPr>
            <w:tcW w:type="dxa" w:w="2100"/>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Owner(s)</w:t>
            </w:r>
          </w:p>
        </w:tc>
      </w:tr>
      <w:tr>
        <w:tc>
          <w:tcPr>
            <w:tcW w:type="dxa" w:w="900"/>
            <w:shd w:fill="4472C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1</w:t>
            </w:r>
          </w:p>
        </w:tc>
        <w:tc>
          <w:tcPr>
            <w:tcW w:type="dxa" w:w="1200"/>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BM-001</w:t>
            </w:r>
          </w:p>
        </w:tc>
        <w:tc>
          <w:tcPr>
            <w:tcW w:type="dxa" w:w="24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Simple MBS — Warehouse</w:t>
            </w:r>
          </w:p>
        </w:tc>
        <w:tc>
          <w:tcPr>
            <w:tcW w:type="dxa" w:w="276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Establish happy-path baseline. Confirm MBSParser populates all 196 fields cleanly. All governing fields POPULATED. No fallback triggered. Gate S1–S4 all PASS.</w:t>
            </w:r>
          </w:p>
        </w:tc>
        <w:tc>
          <w:tcPr>
            <w:tcW w:type="dxa" w:w="2100"/>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Parser Team Lead + QA Lead</w:t>
            </w:r>
          </w:p>
        </w:tc>
      </w:tr>
      <w:tr>
        <w:tc>
          <w:tcPr>
            <w:tcW w:type="dxa" w:w="900"/>
            <w:shd w:fill="4472C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2</w:t>
            </w:r>
          </w:p>
        </w:tc>
        <w:tc>
          <w:tcPr>
            <w:tcW w:type="dxa" w:w="1200"/>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BM-003</w:t>
            </w:r>
          </w:p>
        </w:tc>
        <w:tc>
          <w:tcPr>
            <w:tcW w:type="dxa" w:w="240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STAAD — Industrial frame</w:t>
            </w:r>
          </w:p>
        </w:tc>
        <w:tc>
          <w:tcPr>
            <w:tcW w:type="dxa" w:w="276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Test P1 priority path. Confirm STAADParser wins ConflictResolver over PDF. Bolt grade absent triggers FB-RULE-013. Gate S4 FAIL on bolt blocker — manual review T-010 raised.</w:t>
            </w:r>
          </w:p>
        </w:tc>
        <w:tc>
          <w:tcPr>
            <w:tcW w:type="dxa" w:w="2100"/>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Parser Team Lead + Backend Lead</w:t>
            </w:r>
          </w:p>
        </w:tc>
      </w:tr>
      <w:tr>
        <w:tc>
          <w:tcPr>
            <w:tcW w:type="dxa" w:w="900"/>
            <w:shd w:fill="4472C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3</w:t>
            </w:r>
          </w:p>
        </w:tc>
        <w:tc>
          <w:tcPr>
            <w:tcW w:type="dxa" w:w="1200"/>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BM-002</w:t>
            </w:r>
          </w:p>
        </w:tc>
        <w:tc>
          <w:tcPr>
            <w:tcW w:type="dxa" w:w="24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Medium MBS — Multi-bay with mezzanine</w:t>
            </w:r>
          </w:p>
        </w:tc>
        <w:tc>
          <w:tcPr>
            <w:tcW w:type="dxa" w:w="276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Introduce first MBS stress. Built-up section name-only (FB-RULE-021). Partial connection schedule (FB-RULE-016). MBS fallback to ETABS for loads field. Mid-path blocker confirmed in UI.</w:t>
            </w:r>
          </w:p>
        </w:tc>
        <w:tc>
          <w:tcPr>
            <w:tcW w:type="dxa" w:w="2100"/>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Parser Team + QA Lead</w:t>
            </w:r>
          </w:p>
        </w:tc>
      </w:tr>
      <w:tr>
        <w:tc>
          <w:tcPr>
            <w:tcW w:type="dxa" w:w="900"/>
            <w:shd w:fill="4472C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4</w:t>
            </w:r>
          </w:p>
        </w:tc>
        <w:tc>
          <w:tcPr>
            <w:tcW w:type="dxa" w:w="1200"/>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BM-004</w:t>
            </w:r>
          </w:p>
        </w:tc>
        <w:tc>
          <w:tcPr>
            <w:tcW w:type="dxa" w:w="240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ETABS/Prota — RC podium + steel</w:t>
            </w:r>
          </w:p>
        </w:tc>
        <w:tc>
          <w:tcPr>
            <w:tcW w:type="dxa" w:w="276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First non-MBS full run. ETABSParser P3 + ProtaParser P4/P5. Member-grid mapping checked (FB-RULE-018). AB generation path via Prota PDF. Confirm Prota PDF absent scenario (FB-RULE-022).</w:t>
            </w:r>
          </w:p>
        </w:tc>
        <w:tc>
          <w:tcPr>
            <w:tcW w:type="dxa" w:w="2100"/>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Parser Team + Detailing Lead</w:t>
            </w:r>
          </w:p>
        </w:tc>
      </w:tr>
      <w:tr>
        <w:tc>
          <w:tcPr>
            <w:tcW w:type="dxa" w:w="900"/>
            <w:shd w:fill="4472C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5</w:t>
            </w:r>
          </w:p>
        </w:tc>
        <w:tc>
          <w:tcPr>
            <w:tcW w:type="dxa" w:w="1200"/>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BM-005</w:t>
            </w:r>
          </w:p>
        </w:tc>
        <w:tc>
          <w:tcPr>
            <w:tcW w:type="dxa" w:w="24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Complex PEB — Multi-span + crane + built-up</w:t>
            </w:r>
          </w:p>
        </w:tc>
        <w:tc>
          <w:tcPr>
            <w:tcW w:type="dxa" w:w="276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Maximum stress run. Full fallback chain: P1(absent)→P2→P3→P5(Manual). Built-up plate dims absent (FB-RULE-021). Crane safety R-153 triggered. Multiple release-blockers. S4 hard gate FAIL. Evidence pack full.</w:t>
            </w:r>
          </w:p>
        </w:tc>
        <w:tc>
          <w:tcPr>
            <w:tcW w:type="dxa" w:w="2100"/>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ALL: QA Lead + Backend + Parser + Detailing Lead</w:t>
            </w:r>
          </w:p>
        </w:tc>
      </w:tr>
    </w:tbl>
    <w:p>
      <w:pPr>
        <w:spacing w:after="80"/>
      </w:pPr>
    </w:p>
    <w:p>
      <w:pPr>
        <w:spacing w:after="160"/>
        <w:jc w:val="left"/>
      </w:pPr>
      <w:r>
        <w:rPr>
          <w:rFonts w:ascii="Arial" w:cs="Arial" w:eastAsia="Arial" w:hAnsi="Arial"/>
          <w:b/>
          <w:bCs/>
          <w:i w:val="false"/>
          <w:iCs w:val="false"/>
          <w:color w:val="000000"/>
          <w:sz w:val="20"/>
          <w:szCs w:val="20"/>
        </w:rPr>
        <w:t xml:space="preserve">Hold Conditions between runs:</w:t>
      </w:r>
    </w:p>
    <w:p>
      <w:pPr>
        <w:spacing w:after="160"/>
        <w:jc w:val="left"/>
      </w:pPr>
      <w:r>
        <w:rPr>
          <w:rFonts w:ascii="Arial" w:cs="Arial" w:eastAsia="Arial" w:hAnsi="Arial"/>
          <w:b w:val="false"/>
          <w:bCs w:val="false"/>
          <w:i w:val="false"/>
          <w:iCs w:val="false"/>
          <w:color w:val="000000"/>
          <w:sz w:val="19"/>
          <w:szCs w:val="19"/>
        </w:rPr>
        <w:t xml:space="preserve">→ HOLD if Run 1 (BM-001) fails: any field that should be POPULATED is UNRESOLVED in the happy-path case = systemic parser failure. Do not proceed to Run 2.</w:t>
      </w:r>
    </w:p>
    <w:p>
      <w:pPr>
        <w:spacing w:after="160"/>
        <w:jc w:val="left"/>
      </w:pPr>
      <w:r>
        <w:rPr>
          <w:rFonts w:ascii="Arial" w:cs="Arial" w:eastAsia="Arial" w:hAnsi="Arial"/>
          <w:b w:val="false"/>
          <w:bCs w:val="false"/>
          <w:i w:val="false"/>
          <w:iCs w:val="false"/>
          <w:color w:val="000000"/>
          <w:sz w:val="19"/>
          <w:szCs w:val="19"/>
        </w:rPr>
        <w:t xml:space="preserve">→ HOLD if ConflictResolver crashes in Run 2 (BM-003): cannot trust priority ladder in Runs 3–5.</w:t>
      </w:r>
    </w:p>
    <w:p>
      <w:pPr>
        <w:spacing w:after="160"/>
        <w:jc w:val="left"/>
      </w:pPr>
      <w:r>
        <w:rPr>
          <w:rFonts w:ascii="Arial" w:cs="Arial" w:eastAsia="Arial" w:hAnsi="Arial"/>
          <w:b w:val="false"/>
          <w:bCs w:val="false"/>
          <w:i w:val="false"/>
          <w:iCs w:val="false"/>
          <w:color w:val="000000"/>
          <w:sz w:val="19"/>
          <w:szCs w:val="19"/>
        </w:rPr>
        <w:t xml:space="preserve">→ CONTINUE WITH LOG if partial UNRESOLVED fields appear in Runs 3–4 as designed: these are expected and form the defect evidence for release-blocker validation.</w:t>
      </w:r>
    </w:p>
    <w:p>
      <w:pPr>
        <w:spacing w:after="160"/>
        <w:jc w:val="left"/>
      </w:pPr>
      <w:r>
        <w:rPr>
          <w:rFonts w:ascii="Arial" w:cs="Arial" w:eastAsia="Arial" w:hAnsi="Arial"/>
          <w:b w:val="false"/>
          <w:bCs w:val="false"/>
          <w:i w:val="false"/>
          <w:iCs w:val="false"/>
          <w:color w:val="000000"/>
          <w:sz w:val="19"/>
          <w:szCs w:val="19"/>
        </w:rPr>
        <w:t xml:space="preserve">→ HOLD if Run 5 (BM-005) fails to trigger ANY release-blocker: means the rule engine is not surfacing blockers for missing governing fields — systemic failure of L1/L10.</w:t>
      </w:r>
    </w:p>
    <w:p>
      <w:pPr>
        <w:spacing w:after="80"/>
      </w:pP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C00000" w:val="clear"/>
            <w:tcMar>
              <w:top w:type="dxa" w:w="100"/>
              <w:left w:type="dxa" w:w="180"/>
              <w:bottom w:type="dxa" w:w="100"/>
              <w:right w:type="dxa" w:w="180"/>
            </w:tcMar>
          </w:tcPr>
          <w:p>
            <w:r>
              <w:rPr>
                <w:rFonts w:ascii="Arial" w:cs="Arial" w:eastAsia="Arial" w:hAnsi="Arial"/>
                <w:b/>
                <w:bCs/>
                <w:color w:val="FFFFFF"/>
                <w:sz w:val="24"/>
                <w:szCs w:val="24"/>
              </w:rPr>
              <w:t xml:space="preserve">SECTION 5 — EXCLUDED JOB LIST</w:t>
            </w:r>
          </w:p>
        </w:tc>
      </w:tr>
    </w:tbl>
    <w:p>
      <w:pPr>
        <w:spacing w:after="80"/>
      </w:pPr>
    </w:p>
    <w:p>
      <w:pPr>
        <w:spacing w:after="160"/>
        <w:jc w:val="left"/>
      </w:pPr>
      <w:r>
        <w:rPr>
          <w:rFonts w:ascii="Arial" w:cs="Arial" w:eastAsia="Arial" w:hAnsi="Arial"/>
          <w:b w:val="false"/>
          <w:bCs w:val="false"/>
          <w:i w:val="false"/>
          <w:iCs w:val="false"/>
          <w:color w:val="000000"/>
          <w:sz w:val="20"/>
          <w:szCs w:val="20"/>
        </w:rPr>
        <w:t xml:space="preserve">The following job types were considered and explicitly excluded from the 5-job benchmark set. Each exclusion includes a disposition — how that scenario is tested elsewhere in the validation framework.</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360"/>
      </w:tblGrid>
      <w:tr>
        <w:trPr>
          <w:tblHeader/>
        </w:trPr>
        <w:tc>
          <w:tcPr>
            <w:tcW w:type="dxa" w:w="2000"/>
            <w:shd w:fill="C00000"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Excluded Job Type</w:t>
            </w:r>
          </w:p>
        </w:tc>
        <w:tc>
          <w:tcPr>
            <w:tcW w:type="dxa" w:w="3000"/>
            <w:shd w:fill="C00000"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Reason for Exclusion</w:t>
            </w:r>
          </w:p>
        </w:tc>
        <w:tc>
          <w:tcPr>
            <w:tcW w:type="dxa" w:w="3360"/>
            <w:shd w:fill="C00000"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Disposition (Where Tested Instead)</w:t>
            </w:r>
          </w:p>
        </w:tc>
      </w:tr>
      <w:tr>
        <w:tc>
          <w:tcPr>
            <w:tcW w:type="dxa" w:w="2000"/>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Archival / historical-source only job</w:t>
            </w:r>
          </w:p>
        </w:tc>
        <w:tc>
          <w:tcPr>
            <w:tcW w:type="dxa" w:w="3000"/>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Source is P8 (Historical) for all governing fields. Historical source on governing fields is PROHIBITED per L0 and produces an immediate Release-Blocker (HISTORICAL_PROHIBITED). Running such a job adds no coverage beyond L0 testing — which is already covered across all 5 selected jobs. Additionally, it cannot progress past S1 gate, making it useless for AB/GA readiness validation.</w:t>
            </w:r>
          </w:p>
        </w:tc>
        <w:tc>
          <w:tcPr>
            <w:tcW w:type="dxa" w:w="3360"/>
            <w:shd w:fill="FCE4D6"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Include a historical-source UNIT test at the parser test level (T-PARSE-07 equivalent) instead. Do not use as a benchmark job.</w:t>
            </w:r>
          </w:p>
        </w:tc>
      </w:tr>
      <w:tr>
        <w:tc>
          <w:tcPr>
            <w:tcW w:type="dxa" w:w="2000"/>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Simple residential / portal frame (no industrial load)</w:t>
            </w:r>
          </w:p>
        </w:tc>
        <w:tc>
          <w:tcPr>
            <w:tcW w:type="dxa" w:w="300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Does not exercise anchor bolt design, crane rules, built-up section logic, or any fallback rules. Geometry is trivial (single portal, 2 bays). Parser coverage is a subset of BM-001. Score: parser validation value = 1, fallback validation value = 1.</w:t>
            </w:r>
          </w:p>
        </w:tc>
        <w:tc>
          <w:tcPr>
            <w:tcW w:type="dxa" w:w="3360"/>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BM-001 (Simple MBS) already covers the simple clean-path. A second simple job adds zero incremental coverage and dilutes the set.</w:t>
            </w:r>
          </w:p>
        </w:tc>
      </w:tr>
      <w:tr>
        <w:tc>
          <w:tcPr>
            <w:tcW w:type="dxa" w:w="2000"/>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Password-encrypted archive job</w:t>
            </w:r>
          </w:p>
        </w:tc>
        <w:tc>
          <w:tcPr>
            <w:tcW w:type="dxa" w:w="3000"/>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Archive extraction fails immediately with ESCALATE_IT flag — no fields are populated. The entire job produces zero field_value_store rows. Nothing beyond the archive extractor is exercised.</w:t>
            </w:r>
          </w:p>
        </w:tc>
        <w:tc>
          <w:tcPr>
            <w:tcW w:type="dxa" w:w="3360"/>
            <w:shd w:fill="FCE4D6"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Archive encryption is a unit test scenario (PT-007 / T-PARSE-09). It is NOT a benchmark job — it cannot advance through any stage gate.</w:t>
            </w:r>
          </w:p>
        </w:tc>
      </w:tr>
      <w:tr>
        <w:tc>
          <w:tcPr>
            <w:tcW w:type="dxa" w:w="2000"/>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Job with no source files (blank intake only)</w:t>
            </w:r>
          </w:p>
        </w:tc>
        <w:tc>
          <w:tcPr>
            <w:tcW w:type="dxa" w:w="300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Produces all 196 fields as UNRESOLVED at S1. Gate fails immediately. Tests nothing beyond the completeness check (L1), which is exercised in all 5 selected jobs. No parser is invoked; no conflict resolution occurs.</w:t>
            </w:r>
          </w:p>
        </w:tc>
        <w:tc>
          <w:tcPr>
            <w:tcW w:type="dxa" w:w="3360"/>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Confirmed as a unit test for L1 completeness validation. Excluded from benchmark cycle as it has no parser, geometry, or fallback coverage value.</w:t>
            </w:r>
          </w:p>
        </w:tc>
      </w:tr>
      <w:tr>
        <w:tc>
          <w:tcPr>
            <w:tcW w:type="dxa" w:w="2000"/>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Duplicate MBS job (same type as BM-001 or BM-002)</w:t>
            </w:r>
          </w:p>
        </w:tc>
        <w:tc>
          <w:tcPr>
            <w:tcW w:type="dxa" w:w="3000"/>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The benchmark set already has two MBS jobs spanning simple-to-medium complexity. A third MBS job of equal or similar difficulty violates the strict rule against selecting only easy jobs and reduces non-MBS representation.</w:t>
            </w:r>
          </w:p>
        </w:tc>
        <w:tc>
          <w:tcPr>
            <w:tcW w:type="dxa" w:w="3360"/>
            <w:shd w:fill="FCE4D6"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If additional MBS coverage is needed post-Phase 5, add as BM-006 in a secondary benchmark cycle (50-job reference set, Phase 7).</w:t>
            </w:r>
          </w:p>
        </w:tc>
      </w:tr>
      <w:tr>
        <w:tc>
          <w:tcPr>
            <w:tcW w:type="dxa" w:w="2000"/>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DWG/DXF-only job (no PDF, no STAAD, no MBS)</w:t>
            </w:r>
          </w:p>
        </w:tc>
        <w:tc>
          <w:tcPr>
            <w:tcW w:type="dxa" w:w="300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CADParser (P6) is the lowest-priority structured source. A DWG-only job with no other source produces low-confidence extractions across the board, and the DWG ODA conversion failure path (DWG_CONVERSION_FAILED) makes evidence collection unreliable for controlled testing.</w:t>
            </w:r>
          </w:p>
        </w:tc>
        <w:tc>
          <w:tcPr>
            <w:tcW w:type="dxa" w:w="3360"/>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DWG-only parsing is covered by T-PARSE / integration tests. Not suitable as a benchmark project due to ODA converter dependency risk during controlled validation.</w:t>
            </w:r>
          </w:p>
        </w:tc>
      </w:tr>
    </w:tbl>
    <w:p>
      <w:pPr>
        <w:spacing w:after="80"/>
      </w:pP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Arial" w:cs="Arial" w:eastAsia="Arial" w:hAnsi="Arial"/>
                <w:b/>
                <w:bCs/>
                <w:color w:val="FFFFFF"/>
                <w:sz w:val="24"/>
                <w:szCs w:val="24"/>
              </w:rPr>
              <w:t xml:space="preserve">SECTION 6 — BENCHMARK EVIDENCE LOG FORMAT</w:t>
            </w:r>
          </w:p>
        </w:tc>
      </w:tr>
    </w:tbl>
    <w:p>
      <w:pPr>
        <w:spacing w:after="80"/>
      </w:pPr>
    </w:p>
    <w:p>
      <w:pPr>
        <w:spacing w:after="160"/>
        <w:jc w:val="left"/>
      </w:pPr>
      <w:r>
        <w:rPr>
          <w:rFonts w:ascii="Arial" w:cs="Arial" w:eastAsia="Arial" w:hAnsi="Arial"/>
          <w:b/>
          <w:bCs/>
          <w:i w:val="false"/>
          <w:iCs w:val="false"/>
          <w:color w:val="000000"/>
          <w:sz w:val="20"/>
          <w:szCs w:val="20"/>
        </w:rPr>
        <w:t xml:space="preserve">Every benchmark run must produce a complete, signed evidence pack before it may be recorded as PASS or FAIL in benchmark_project_log. No evidence = no result. No partial evidence packs.</w:t>
      </w:r>
    </w:p>
    <w:p>
      <w:pPr>
        <w:spacing w:after="80"/>
      </w:pPr>
    </w:p>
    <w:p>
      <w:pPr>
        <w:pStyle w:val="Heading2"/>
        <w:spacing w:after="120" w:before="240"/>
      </w:pPr>
      <w:r>
        <w:rPr>
          <w:rFonts w:ascii="Arial" w:cs="Arial" w:eastAsia="Arial" w:hAnsi="Arial"/>
          <w:b/>
          <w:bCs/>
          <w:color w:val="2E75B6"/>
          <w:sz w:val="26"/>
          <w:szCs w:val="26"/>
        </w:rPr>
        <w:t xml:space="preserve">6.1  Evidence Log Header (Per-Run Metadata)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Evidence Header Field</w:t>
            </w:r>
          </w:p>
        </w:tc>
        <w:tc>
          <w:tcPr>
            <w:tcW w:type="dxa" w:w="6360"/>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Value / Template</w:t>
            </w:r>
          </w:p>
        </w:tc>
      </w:tr>
      <w:tr>
        <w:tc>
          <w:tcPr>
            <w:tcW w:type="dxa" w:w="3000"/>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Benchmark Job ID</w:t>
            </w:r>
          </w:p>
        </w:tc>
        <w:tc>
          <w:tcPr>
            <w:tcW w:type="dxa" w:w="6360"/>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BM-001 / BM-002 / BM-003 / BM-004 / BM-005</w:t>
            </w:r>
          </w:p>
        </w:tc>
      </w:tr>
      <w:tr>
        <w:tc>
          <w:tcPr>
            <w:tcW w:type="dxa" w:w="3000"/>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Job Name</w:t>
            </w:r>
          </w:p>
        </w:tc>
        <w:tc>
          <w:tcPr>
            <w:tcW w:type="dxa" w:w="6360"/>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[Full project name as registered in project_master]</w:t>
            </w:r>
          </w:p>
        </w:tc>
      </w:tr>
      <w:tr>
        <w:tc>
          <w:tcPr>
            <w:tcW w:type="dxa" w:w="3000"/>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Run Date</w:t>
            </w:r>
          </w:p>
        </w:tc>
        <w:tc>
          <w:tcPr>
            <w:tcW w:type="dxa" w:w="6360"/>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YYYY-MM-DD</w:t>
            </w:r>
          </w:p>
        </w:tc>
      </w:tr>
      <w:tr>
        <w:tc>
          <w:tcPr>
            <w:tcW w:type="dxa" w:w="3000"/>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Run Number</w:t>
            </w:r>
          </w:p>
        </w:tc>
        <w:tc>
          <w:tcPr>
            <w:tcW w:type="dxa" w:w="6360"/>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1 of 5 / 2 of 5 / …</w:t>
            </w:r>
          </w:p>
        </w:tc>
      </w:tr>
      <w:tr>
        <w:tc>
          <w:tcPr>
            <w:tcW w:type="dxa" w:w="3000"/>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Executed By</w:t>
            </w:r>
          </w:p>
        </w:tc>
        <w:tc>
          <w:tcPr>
            <w:tcW w:type="dxa" w:w="6360"/>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[Name — QA Lead / Parser Team Lead / Backend Lead]</w:t>
            </w:r>
          </w:p>
        </w:tc>
      </w:tr>
      <w:tr>
        <w:tc>
          <w:tcPr>
            <w:tcW w:type="dxa" w:w="3000"/>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Witnessed By</w:t>
            </w:r>
          </w:p>
        </w:tc>
        <w:tc>
          <w:tcPr>
            <w:tcW w:type="dxa" w:w="6360"/>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[Second name — required for all BM-005 evidence]</w:t>
            </w:r>
          </w:p>
        </w:tc>
      </w:tr>
      <w:tr>
        <w:tc>
          <w:tcPr>
            <w:tcW w:type="dxa" w:w="3000"/>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Document ID</w:t>
            </w:r>
          </w:p>
        </w:tc>
        <w:tc>
          <w:tcPr>
            <w:tcW w:type="dxa" w:w="6360"/>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IFS-BM-EVID-[JOB_ID]-[DATE]</w:t>
            </w:r>
          </w:p>
        </w:tc>
      </w:tr>
      <w:tr>
        <w:tc>
          <w:tcPr>
            <w:tcW w:type="dxa" w:w="3000"/>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System State</w:t>
            </w:r>
          </w:p>
        </w:tc>
        <w:tc>
          <w:tcPr>
            <w:tcW w:type="dxa" w:w="6360"/>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Integration Hold Active ✓ / Cleared ✓  (circle one)</w:t>
            </w:r>
          </w:p>
        </w:tc>
      </w:tr>
      <w:tr>
        <w:tc>
          <w:tcPr>
            <w:tcW w:type="dxa" w:w="3000"/>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IFS Build Baseline</w:t>
            </w:r>
          </w:p>
        </w:tc>
        <w:tc>
          <w:tcPr>
            <w:tcW w:type="dxa" w:w="6360"/>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MasterDB v3+ | IFS-BUILD-EXEC-20260424 | IV-2.0.0 [FROZEN / PENDING]</w:t>
            </w:r>
          </w:p>
        </w:tc>
      </w:tr>
      <w:tr>
        <w:tc>
          <w:tcPr>
            <w:tcW w:type="dxa" w:w="3000"/>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Database Snapshot</w:t>
            </w:r>
          </w:p>
        </w:tc>
        <w:tc>
          <w:tcPr>
            <w:tcW w:type="dxa" w:w="6360"/>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steel_agent_PRE_BM[N]_[DATE].db (taken before run)</w:t>
            </w:r>
          </w:p>
        </w:tc>
      </w:tr>
    </w:tbl>
    <w:p>
      <w:pPr>
        <w:spacing w:after="80"/>
      </w:pPr>
    </w:p>
    <w:p>
      <w:pPr>
        <w:pStyle w:val="Heading2"/>
        <w:spacing w:after="120" w:before="240"/>
      </w:pPr>
      <w:r>
        <w:rPr>
          <w:rFonts w:ascii="Arial" w:cs="Arial" w:eastAsia="Arial" w:hAnsi="Arial"/>
          <w:b/>
          <w:bCs/>
          <w:color w:val="2E75B6"/>
          <w:sz w:val="26"/>
          <w:szCs w:val="26"/>
        </w:rPr>
        <w:t xml:space="preserve">6.2  Required Evidence Items (E-BM-01 to E-BM-21)</w:t>
      </w:r>
    </w:p>
    <w:p>
      <w:pPr>
        <w:spacing w:after="160"/>
        <w:jc w:val="left"/>
      </w:pPr>
      <w:r>
        <w:rPr>
          <w:rFonts w:ascii="Arial" w:cs="Arial" w:eastAsia="Arial" w:hAnsi="Arial"/>
          <w:b w:val="false"/>
          <w:bCs w:val="false"/>
          <w:i w:val="false"/>
          <w:iCs w:val="false"/>
          <w:color w:val="000000"/>
          <w:sz w:val="19"/>
          <w:szCs w:val="19"/>
        </w:rPr>
        <w:t xml:space="preserve">Evidence items marked 'ALL' must be collected for every job. Items with specific job references are mandatory only for those runs.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800"/>
        <w:gridCol w:w="1200"/>
        <w:gridCol w:w="1200"/>
        <w:gridCol w:w="900"/>
      </w:tblGrid>
      <w:tr>
        <w:trPr>
          <w:tblHeader/>
        </w:trPr>
        <w:tc>
          <w:tcPr>
            <w:tcW w:type="dxa" w:w="1000"/>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Evid ID</w:t>
            </w:r>
          </w:p>
        </w:tc>
        <w:tc>
          <w:tcPr>
            <w:tcW w:type="dxa" w:w="1400"/>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Evidence Item</w:t>
            </w:r>
          </w:p>
        </w:tc>
        <w:tc>
          <w:tcPr>
            <w:tcW w:type="dxa" w:w="2800"/>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Filename / SQL Query</w:t>
            </w:r>
          </w:p>
        </w:tc>
        <w:tc>
          <w:tcPr>
            <w:tcW w:type="dxa" w:w="1200"/>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Format</w:t>
            </w:r>
          </w:p>
        </w:tc>
        <w:tc>
          <w:tcPr>
            <w:tcW w:type="dxa" w:w="1200"/>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Captured By</w:t>
            </w:r>
          </w:p>
        </w:tc>
        <w:tc>
          <w:tcPr>
            <w:tcW w:type="dxa" w:w="900"/>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Jobs</w:t>
            </w:r>
          </w:p>
        </w:tc>
      </w:tr>
      <w:tr>
        <w:tc>
          <w:tcPr>
            <w:tcW w:type="dxa" w:w="1000"/>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7"/>
                <w:szCs w:val="17"/>
              </w:rPr>
              <w:t xml:space="preserve">E-BM-01</w:t>
            </w:r>
          </w:p>
        </w:tc>
        <w:tc>
          <w:tcPr>
            <w:tcW w:type="dxa" w:w="1400"/>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Pre-run DB snapshot</w:t>
            </w:r>
          </w:p>
        </w:tc>
        <w:tc>
          <w:tcPr>
            <w:tcW w:type="dxa" w:w="2800"/>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steel_agent_PRE_BM[N]_[DATE].db</w:t>
            </w:r>
          </w:p>
        </w:tc>
        <w:tc>
          <w:tcPr>
            <w:tcW w:type="dxa" w:w="12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SQLite file</w:t>
            </w:r>
          </w:p>
        </w:tc>
        <w:tc>
          <w:tcPr>
            <w:tcW w:type="dxa" w:w="12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DB Lead</w:t>
            </w:r>
          </w:p>
        </w:tc>
        <w:tc>
          <w:tcPr>
            <w:tcW w:type="dxa" w:w="9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ALL</w:t>
            </w:r>
          </w:p>
        </w:tc>
      </w:tr>
      <w:tr>
        <w:tc>
          <w:tcPr>
            <w:tcW w:type="dxa" w:w="1000"/>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7"/>
                <w:szCs w:val="17"/>
              </w:rPr>
              <w:t xml:space="preserve">E-BM-02</w:t>
            </w:r>
          </w:p>
        </w:tc>
        <w:tc>
          <w:tcPr>
            <w:tcW w:type="dxa" w:w="1400"/>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Project intake record</w:t>
            </w:r>
          </w:p>
        </w:tc>
        <w:tc>
          <w:tcPr>
            <w:tcW w:type="dxa" w:w="2800"/>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bm[n]_intake_sheet.txt  (SELECT * FROM intake_sheet_registry)</w:t>
            </w:r>
          </w:p>
        </w:tc>
        <w:tc>
          <w:tcPr>
            <w:tcW w:type="dxa" w:w="120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SQL output</w:t>
            </w:r>
          </w:p>
        </w:tc>
        <w:tc>
          <w:tcPr>
            <w:tcW w:type="dxa" w:w="120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QA Lead</w:t>
            </w:r>
          </w:p>
        </w:tc>
        <w:tc>
          <w:tcPr>
            <w:tcW w:type="dxa" w:w="90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ALL</w:t>
            </w:r>
          </w:p>
        </w:tc>
      </w:tr>
      <w:tr>
        <w:tc>
          <w:tcPr>
            <w:tcW w:type="dxa" w:w="1000"/>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7"/>
                <w:szCs w:val="17"/>
              </w:rPr>
              <w:t xml:space="preserve">E-BM-03</w:t>
            </w:r>
          </w:p>
        </w:tc>
        <w:tc>
          <w:tcPr>
            <w:tcW w:type="dxa" w:w="1400"/>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File registry at intake</w:t>
            </w:r>
          </w:p>
        </w:tc>
        <w:tc>
          <w:tcPr>
            <w:tcW w:type="dxa" w:w="2800"/>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bm[n]_file_registry.csv  (SELECT * FROM project_file_registry)</w:t>
            </w:r>
          </w:p>
        </w:tc>
        <w:tc>
          <w:tcPr>
            <w:tcW w:type="dxa" w:w="12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CSV export</w:t>
            </w:r>
          </w:p>
        </w:tc>
        <w:tc>
          <w:tcPr>
            <w:tcW w:type="dxa" w:w="12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QA Lead</w:t>
            </w:r>
          </w:p>
        </w:tc>
        <w:tc>
          <w:tcPr>
            <w:tcW w:type="dxa" w:w="9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ALL</w:t>
            </w:r>
          </w:p>
        </w:tc>
      </w:tr>
      <w:tr>
        <w:tc>
          <w:tcPr>
            <w:tcW w:type="dxa" w:w="1000"/>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7"/>
                <w:szCs w:val="17"/>
              </w:rPr>
              <w:t xml:space="preserve">E-BM-04</w:t>
            </w:r>
          </w:p>
        </w:tc>
        <w:tc>
          <w:tcPr>
            <w:tcW w:type="dxa" w:w="1400"/>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Parser stdout log — all adapters</w:t>
            </w:r>
          </w:p>
        </w:tc>
        <w:tc>
          <w:tcPr>
            <w:tcW w:type="dxa" w:w="2800"/>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bm[n]_parser_[adapter].log</w:t>
            </w:r>
          </w:p>
        </w:tc>
        <w:tc>
          <w:tcPr>
            <w:tcW w:type="dxa" w:w="120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Text log</w:t>
            </w:r>
          </w:p>
        </w:tc>
        <w:tc>
          <w:tcPr>
            <w:tcW w:type="dxa" w:w="120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Parser Lead</w:t>
            </w:r>
          </w:p>
        </w:tc>
        <w:tc>
          <w:tcPr>
            <w:tcW w:type="dxa" w:w="90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ALL</w:t>
            </w:r>
          </w:p>
        </w:tc>
      </w:tr>
      <w:tr>
        <w:tc>
          <w:tcPr>
            <w:tcW w:type="dxa" w:w="1000"/>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7"/>
                <w:szCs w:val="17"/>
              </w:rPr>
              <w:t xml:space="preserve">E-BM-05</w:t>
            </w:r>
          </w:p>
        </w:tc>
        <w:tc>
          <w:tcPr>
            <w:tcW w:type="dxa" w:w="1400"/>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field_extraction_log dump</w:t>
            </w:r>
          </w:p>
        </w:tc>
        <w:tc>
          <w:tcPr>
            <w:tcW w:type="dxa" w:w="2800"/>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bm[n]_extraction_log.csv  (all rows for project_uuid)</w:t>
            </w:r>
          </w:p>
        </w:tc>
        <w:tc>
          <w:tcPr>
            <w:tcW w:type="dxa" w:w="12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CSV export</w:t>
            </w:r>
          </w:p>
        </w:tc>
        <w:tc>
          <w:tcPr>
            <w:tcW w:type="dxa" w:w="12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QA Lead</w:t>
            </w:r>
          </w:p>
        </w:tc>
        <w:tc>
          <w:tcPr>
            <w:tcW w:type="dxa" w:w="9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ALL</w:t>
            </w:r>
          </w:p>
        </w:tc>
      </w:tr>
      <w:tr>
        <w:tc>
          <w:tcPr>
            <w:tcW w:type="dxa" w:w="1000"/>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7"/>
                <w:szCs w:val="17"/>
              </w:rPr>
              <w:t xml:space="preserve">E-BM-06</w:t>
            </w:r>
          </w:p>
        </w:tc>
        <w:tc>
          <w:tcPr>
            <w:tcW w:type="dxa" w:w="1400"/>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field_value_store — post-parse</w:t>
            </w:r>
          </w:p>
        </w:tc>
        <w:tc>
          <w:tcPr>
            <w:tcW w:type="dxa" w:w="2800"/>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bm[n]_field_value_store.csv</w:t>
            </w:r>
          </w:p>
        </w:tc>
        <w:tc>
          <w:tcPr>
            <w:tcW w:type="dxa" w:w="120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CSV export</w:t>
            </w:r>
          </w:p>
        </w:tc>
        <w:tc>
          <w:tcPr>
            <w:tcW w:type="dxa" w:w="120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QA Lead</w:t>
            </w:r>
          </w:p>
        </w:tc>
        <w:tc>
          <w:tcPr>
            <w:tcW w:type="dxa" w:w="90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ALL</w:t>
            </w:r>
          </w:p>
        </w:tc>
      </w:tr>
      <w:tr>
        <w:tc>
          <w:tcPr>
            <w:tcW w:type="dxa" w:w="1000"/>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7"/>
                <w:szCs w:val="17"/>
              </w:rPr>
              <w:t xml:space="preserve">E-BM-07</w:t>
            </w:r>
          </w:p>
        </w:tc>
        <w:tc>
          <w:tcPr>
            <w:tcW w:type="dxa" w:w="1400"/>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POPULATED count vs UNRESOLVED count</w:t>
            </w:r>
          </w:p>
        </w:tc>
        <w:tc>
          <w:tcPr>
            <w:tcW w:type="dxa" w:w="2800"/>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bm[n]_population_summary.txt  (SELECT status, COUNT(*) GROUP BY status)</w:t>
            </w:r>
          </w:p>
        </w:tc>
        <w:tc>
          <w:tcPr>
            <w:tcW w:type="dxa" w:w="12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SQL output</w:t>
            </w:r>
          </w:p>
        </w:tc>
        <w:tc>
          <w:tcPr>
            <w:tcW w:type="dxa" w:w="12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QA Lead</w:t>
            </w:r>
          </w:p>
        </w:tc>
        <w:tc>
          <w:tcPr>
            <w:tcW w:type="dxa" w:w="9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ALL</w:t>
            </w:r>
          </w:p>
        </w:tc>
      </w:tr>
      <w:tr>
        <w:tc>
          <w:tcPr>
            <w:tcW w:type="dxa" w:w="1000"/>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7"/>
                <w:szCs w:val="17"/>
              </w:rPr>
              <w:t xml:space="preserve">E-BM-08</w:t>
            </w:r>
          </w:p>
        </w:tc>
        <w:tc>
          <w:tcPr>
            <w:tcW w:type="dxa" w:w="1400"/>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Flags raised log</w:t>
            </w:r>
          </w:p>
        </w:tc>
        <w:tc>
          <w:tcPr>
            <w:tcW w:type="dxa" w:w="2800"/>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bm[n]_flags.csv  (SELECT flag_code, field_id, rule_id FROM field_extraction_log WHERE flags != '[]')</w:t>
            </w:r>
          </w:p>
        </w:tc>
        <w:tc>
          <w:tcPr>
            <w:tcW w:type="dxa" w:w="120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CSV export</w:t>
            </w:r>
          </w:p>
        </w:tc>
        <w:tc>
          <w:tcPr>
            <w:tcW w:type="dxa" w:w="120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QA Lead</w:t>
            </w:r>
          </w:p>
        </w:tc>
        <w:tc>
          <w:tcPr>
            <w:tcW w:type="dxa" w:w="90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ALL</w:t>
            </w:r>
          </w:p>
        </w:tc>
      </w:tr>
      <w:tr>
        <w:tc>
          <w:tcPr>
            <w:tcW w:type="dxa" w:w="1000"/>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7"/>
                <w:szCs w:val="17"/>
              </w:rPr>
              <w:t xml:space="preserve">E-BM-09</w:t>
            </w:r>
          </w:p>
        </w:tc>
        <w:tc>
          <w:tcPr>
            <w:tcW w:type="dxa" w:w="1400"/>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ConflictResolver decisions</w:t>
            </w:r>
          </w:p>
        </w:tc>
        <w:tc>
          <w:tcPr>
            <w:tcW w:type="dxa" w:w="2800"/>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bm[n]_conflicts.csv  (SELECT * FROM field_extraction_log WHERE source_type CONFLICT events)</w:t>
            </w:r>
          </w:p>
        </w:tc>
        <w:tc>
          <w:tcPr>
            <w:tcW w:type="dxa" w:w="12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CSV export</w:t>
            </w:r>
          </w:p>
        </w:tc>
        <w:tc>
          <w:tcPr>
            <w:tcW w:type="dxa" w:w="12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Parser Lead</w:t>
            </w:r>
          </w:p>
        </w:tc>
        <w:tc>
          <w:tcPr>
            <w:tcW w:type="dxa" w:w="900"/>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BM-003</w:t>
            </w:r>
          </w:p>
        </w:tc>
      </w:tr>
      <w:tr>
        <w:tc>
          <w:tcPr>
            <w:tcW w:type="dxa" w:w="1000"/>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7"/>
                <w:szCs w:val="17"/>
              </w:rPr>
              <w:t xml:space="preserve">E-BM-10</w:t>
            </w:r>
          </w:p>
        </w:tc>
        <w:tc>
          <w:tcPr>
            <w:tcW w:type="dxa" w:w="1400"/>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Fallback chain log</w:t>
            </w:r>
          </w:p>
        </w:tc>
        <w:tc>
          <w:tcPr>
            <w:tcW w:type="dxa" w:w="2800"/>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bm[n]_fallback_chain.txt  (SELECT * FROM source_fallback_chain WHERE project_uuid=?)</w:t>
            </w:r>
          </w:p>
        </w:tc>
        <w:tc>
          <w:tcPr>
            <w:tcW w:type="dxa" w:w="120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SQL output</w:t>
            </w:r>
          </w:p>
        </w:tc>
        <w:tc>
          <w:tcPr>
            <w:tcW w:type="dxa" w:w="120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Backend Lead</w:t>
            </w:r>
          </w:p>
        </w:tc>
        <w:tc>
          <w:tcPr>
            <w:tcW w:type="dxa" w:w="900"/>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BM-002/004/005</w:t>
            </w:r>
          </w:p>
        </w:tc>
      </w:tr>
      <w:tr>
        <w:tc>
          <w:tcPr>
            <w:tcW w:type="dxa" w:w="1000"/>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7"/>
                <w:szCs w:val="17"/>
              </w:rPr>
              <w:t xml:space="preserve">E-BM-11</w:t>
            </w:r>
          </w:p>
        </w:tc>
        <w:tc>
          <w:tcPr>
            <w:tcW w:type="dxa" w:w="1400"/>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Validation result — all layers</w:t>
            </w:r>
          </w:p>
        </w:tc>
        <w:tc>
          <w:tcPr>
            <w:tcW w:type="dxa" w:w="2800"/>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bm[n]_validation_results.csv  (SELECT * FROM validation_result)</w:t>
            </w:r>
          </w:p>
        </w:tc>
        <w:tc>
          <w:tcPr>
            <w:tcW w:type="dxa" w:w="12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CSV export</w:t>
            </w:r>
          </w:p>
        </w:tc>
        <w:tc>
          <w:tcPr>
            <w:tcW w:type="dxa" w:w="12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Backend Lead</w:t>
            </w:r>
          </w:p>
        </w:tc>
        <w:tc>
          <w:tcPr>
            <w:tcW w:type="dxa" w:w="9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ALL</w:t>
            </w:r>
          </w:p>
        </w:tc>
      </w:tr>
      <w:tr>
        <w:tc>
          <w:tcPr>
            <w:tcW w:type="dxa" w:w="1000"/>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7"/>
                <w:szCs w:val="17"/>
              </w:rPr>
              <w:t xml:space="preserve">E-BM-12</w:t>
            </w:r>
          </w:p>
        </w:tc>
        <w:tc>
          <w:tcPr>
            <w:tcW w:type="dxa" w:w="1400"/>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Release-Blocker list</w:t>
            </w:r>
          </w:p>
        </w:tc>
        <w:tc>
          <w:tcPr>
            <w:tcW w:type="dxa" w:w="2800"/>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bm[n]_blockers.csv  (SELECT * FROM validation_result WHERE generation_blocked=1)</w:t>
            </w:r>
          </w:p>
        </w:tc>
        <w:tc>
          <w:tcPr>
            <w:tcW w:type="dxa" w:w="120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CSV export</w:t>
            </w:r>
          </w:p>
        </w:tc>
        <w:tc>
          <w:tcPr>
            <w:tcW w:type="dxa" w:w="120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QA Lead</w:t>
            </w:r>
          </w:p>
        </w:tc>
        <w:tc>
          <w:tcPr>
            <w:tcW w:type="dxa" w:w="90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ALL</w:t>
            </w:r>
          </w:p>
        </w:tc>
      </w:tr>
      <w:tr>
        <w:tc>
          <w:tcPr>
            <w:tcW w:type="dxa" w:w="1000"/>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7"/>
                <w:szCs w:val="17"/>
              </w:rPr>
              <w:t xml:space="preserve">E-BM-13</w:t>
            </w:r>
          </w:p>
        </w:tc>
        <w:tc>
          <w:tcPr>
            <w:tcW w:type="dxa" w:w="1400"/>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Stage gate status</w:t>
            </w:r>
          </w:p>
        </w:tc>
        <w:tc>
          <w:tcPr>
            <w:tcW w:type="dxa" w:w="2800"/>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bm[n]_stage_status.txt  (SELECT * FROM project_stage_status)</w:t>
            </w:r>
          </w:p>
        </w:tc>
        <w:tc>
          <w:tcPr>
            <w:tcW w:type="dxa" w:w="12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SQL output</w:t>
            </w:r>
          </w:p>
        </w:tc>
        <w:tc>
          <w:tcPr>
            <w:tcW w:type="dxa" w:w="12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Backend Lead</w:t>
            </w:r>
          </w:p>
        </w:tc>
        <w:tc>
          <w:tcPr>
            <w:tcW w:type="dxa" w:w="9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ALL</w:t>
            </w:r>
          </w:p>
        </w:tc>
      </w:tr>
      <w:tr>
        <w:tc>
          <w:tcPr>
            <w:tcW w:type="dxa" w:w="1000"/>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7"/>
                <w:szCs w:val="17"/>
              </w:rPr>
              <w:t xml:space="preserve">E-BM-14</w:t>
            </w:r>
          </w:p>
        </w:tc>
        <w:tc>
          <w:tcPr>
            <w:tcW w:type="dxa" w:w="1400"/>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audit_event_log count</w:t>
            </w:r>
          </w:p>
        </w:tc>
        <w:tc>
          <w:tcPr>
            <w:tcW w:type="dxa" w:w="2800"/>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bm[n]_audit_count.txt  (SELECT COUNT(*) FROM audit_event_log WHERE project_uuid=?)</w:t>
            </w:r>
          </w:p>
        </w:tc>
        <w:tc>
          <w:tcPr>
            <w:tcW w:type="dxa" w:w="120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SQL output</w:t>
            </w:r>
          </w:p>
        </w:tc>
        <w:tc>
          <w:tcPr>
            <w:tcW w:type="dxa" w:w="120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DB Lead</w:t>
            </w:r>
          </w:p>
        </w:tc>
        <w:tc>
          <w:tcPr>
            <w:tcW w:type="dxa" w:w="90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ALL</w:t>
            </w:r>
          </w:p>
        </w:tc>
      </w:tr>
      <w:tr>
        <w:tc>
          <w:tcPr>
            <w:tcW w:type="dxa" w:w="1000"/>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7"/>
                <w:szCs w:val="17"/>
              </w:rPr>
              <w:t xml:space="preserve">E-BM-15</w:t>
            </w:r>
          </w:p>
        </w:tc>
        <w:tc>
          <w:tcPr>
            <w:tcW w:type="dxa" w:w="1400"/>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Audit row sample (10 rows)</w:t>
            </w:r>
          </w:p>
        </w:tc>
        <w:tc>
          <w:tcPr>
            <w:tcW w:type="dxa" w:w="2800"/>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bm[n]_audit_sample.csv  (SELECT TOP 10 / LIMIT 10 FROM audit_event_log WHERE project_uuid=?)</w:t>
            </w:r>
          </w:p>
        </w:tc>
        <w:tc>
          <w:tcPr>
            <w:tcW w:type="dxa" w:w="12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CSV export</w:t>
            </w:r>
          </w:p>
        </w:tc>
        <w:tc>
          <w:tcPr>
            <w:tcW w:type="dxa" w:w="12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DB Lead</w:t>
            </w:r>
          </w:p>
        </w:tc>
        <w:tc>
          <w:tcPr>
            <w:tcW w:type="dxa" w:w="9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ALL</w:t>
            </w:r>
          </w:p>
        </w:tc>
      </w:tr>
      <w:tr>
        <w:tc>
          <w:tcPr>
            <w:tcW w:type="dxa" w:w="1000"/>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7"/>
                <w:szCs w:val="17"/>
              </w:rPr>
              <w:t xml:space="preserve">E-BM-16</w:t>
            </w:r>
          </w:p>
        </w:tc>
        <w:tc>
          <w:tcPr>
            <w:tcW w:type="dxa" w:w="1400"/>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RC geometry check results</w:t>
            </w:r>
          </w:p>
        </w:tc>
        <w:tc>
          <w:tcPr>
            <w:tcW w:type="dxa" w:w="2800"/>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bm[n]_rc_results.csv  (SELECT * FROM geometry_reconciliation_master results for project)</w:t>
            </w:r>
          </w:p>
        </w:tc>
        <w:tc>
          <w:tcPr>
            <w:tcW w:type="dxa" w:w="120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CSV export</w:t>
            </w:r>
          </w:p>
        </w:tc>
        <w:tc>
          <w:tcPr>
            <w:tcW w:type="dxa" w:w="120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Backend Lead</w:t>
            </w:r>
          </w:p>
        </w:tc>
        <w:tc>
          <w:tcPr>
            <w:tcW w:type="dxa" w:w="900"/>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BM-003/004/005</w:t>
            </w:r>
          </w:p>
        </w:tc>
      </w:tr>
      <w:tr>
        <w:tc>
          <w:tcPr>
            <w:tcW w:type="dxa" w:w="1000"/>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7"/>
                <w:szCs w:val="17"/>
              </w:rPr>
              <w:t xml:space="preserve">E-BM-17</w:t>
            </w:r>
          </w:p>
        </w:tc>
        <w:tc>
          <w:tcPr>
            <w:tcW w:type="dxa" w:w="1400"/>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Manual review triggers raised</w:t>
            </w:r>
          </w:p>
        </w:tc>
        <w:tc>
          <w:tcPr>
            <w:tcW w:type="dxa" w:w="2800"/>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bm[n]_manual_review.txt  (SELECT * FROM manual_review_event WHERE project_uuid=?)</w:t>
            </w:r>
          </w:p>
        </w:tc>
        <w:tc>
          <w:tcPr>
            <w:tcW w:type="dxa" w:w="12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SQL output</w:t>
            </w:r>
          </w:p>
        </w:tc>
        <w:tc>
          <w:tcPr>
            <w:tcW w:type="dxa" w:w="12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QA Lead</w:t>
            </w:r>
          </w:p>
        </w:tc>
        <w:tc>
          <w:tcPr>
            <w:tcW w:type="dxa" w:w="900"/>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BM-002/003/005</w:t>
            </w:r>
          </w:p>
        </w:tc>
      </w:tr>
      <w:tr>
        <w:tc>
          <w:tcPr>
            <w:tcW w:type="dxa" w:w="1000"/>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7"/>
                <w:szCs w:val="17"/>
              </w:rPr>
              <w:t xml:space="preserve">E-BM-18</w:t>
            </w:r>
          </w:p>
        </w:tc>
        <w:tc>
          <w:tcPr>
            <w:tcW w:type="dxa" w:w="1400"/>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UI screen screenshots</w:t>
            </w:r>
          </w:p>
        </w:tc>
        <w:tc>
          <w:tcPr>
            <w:tcW w:type="dxa" w:w="2800"/>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bm[n]_ui_[screen_id].png  (Stage Board, Blocker View, Source Panel, Audit Viewer)</w:t>
            </w:r>
          </w:p>
        </w:tc>
        <w:tc>
          <w:tcPr>
            <w:tcW w:type="dxa" w:w="120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PNG captures</w:t>
            </w:r>
          </w:p>
        </w:tc>
        <w:tc>
          <w:tcPr>
            <w:tcW w:type="dxa" w:w="120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QA Lead</w:t>
            </w:r>
          </w:p>
        </w:tc>
        <w:tc>
          <w:tcPr>
            <w:tcW w:type="dxa" w:w="90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ALL</w:t>
            </w:r>
          </w:p>
        </w:tc>
      </w:tr>
      <w:tr>
        <w:tc>
          <w:tcPr>
            <w:tcW w:type="dxa" w:w="1000"/>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7"/>
                <w:szCs w:val="17"/>
              </w:rPr>
              <w:t xml:space="preserve">E-BM-19</w:t>
            </w:r>
          </w:p>
        </w:tc>
        <w:tc>
          <w:tcPr>
            <w:tcW w:type="dxa" w:w="1400"/>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Post-run PRAGMA integrity_check</w:t>
            </w:r>
          </w:p>
        </w:tc>
        <w:tc>
          <w:tcPr>
            <w:tcW w:type="dxa" w:w="2800"/>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bm[n]_integrity.txt</w:t>
            </w:r>
          </w:p>
        </w:tc>
        <w:tc>
          <w:tcPr>
            <w:tcW w:type="dxa" w:w="12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SQL output ("ok")</w:t>
            </w:r>
          </w:p>
        </w:tc>
        <w:tc>
          <w:tcPr>
            <w:tcW w:type="dxa" w:w="12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DB Lead</w:t>
            </w:r>
          </w:p>
        </w:tc>
        <w:tc>
          <w:tcPr>
            <w:tcW w:type="dxa" w:w="9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ALL</w:t>
            </w:r>
          </w:p>
        </w:tc>
      </w:tr>
      <w:tr>
        <w:tc>
          <w:tcPr>
            <w:tcW w:type="dxa" w:w="1000"/>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7"/>
                <w:szCs w:val="17"/>
              </w:rPr>
              <w:t xml:space="preserve">E-BM-20</w:t>
            </w:r>
          </w:p>
        </w:tc>
        <w:tc>
          <w:tcPr>
            <w:tcW w:type="dxa" w:w="1400"/>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Defect log (if any)</w:t>
            </w:r>
          </w:p>
        </w:tc>
        <w:tc>
          <w:tcPr>
            <w:tcW w:type="dxa" w:w="2800"/>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bm[n]_defects.csv  (see defect log format below)</w:t>
            </w:r>
          </w:p>
        </w:tc>
        <w:tc>
          <w:tcPr>
            <w:tcW w:type="dxa" w:w="120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CSV / manual</w:t>
            </w:r>
          </w:p>
        </w:tc>
        <w:tc>
          <w:tcPr>
            <w:tcW w:type="dxa" w:w="120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QA Lead</w:t>
            </w:r>
          </w:p>
        </w:tc>
        <w:tc>
          <w:tcPr>
            <w:tcW w:type="dxa" w:w="90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ALL</w:t>
            </w:r>
          </w:p>
        </w:tc>
      </w:tr>
      <w:tr>
        <w:tc>
          <w:tcPr>
            <w:tcW w:type="dxa" w:w="1000"/>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7"/>
                <w:szCs w:val="17"/>
              </w:rPr>
              <w:t xml:space="preserve">E-BM-21</w:t>
            </w:r>
          </w:p>
        </w:tc>
        <w:tc>
          <w:tcPr>
            <w:tcW w:type="dxa" w:w="1400"/>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BM Run Report</w:t>
            </w:r>
          </w:p>
        </w:tc>
        <w:tc>
          <w:tcPr>
            <w:tcW w:type="dxa" w:w="2800"/>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IFS-BM-REPORT-[N]-[DATE].md  (narrative + all evidence refs)</w:t>
            </w:r>
          </w:p>
        </w:tc>
        <w:tc>
          <w:tcPr>
            <w:tcW w:type="dxa" w:w="12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Markdown</w:t>
            </w:r>
          </w:p>
        </w:tc>
        <w:tc>
          <w:tcPr>
            <w:tcW w:type="dxa" w:w="12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QA Lead</w:t>
            </w:r>
          </w:p>
        </w:tc>
        <w:tc>
          <w:tcPr>
            <w:tcW w:type="dxa" w:w="9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ALL</w:t>
            </w:r>
          </w:p>
        </w:tc>
      </w:tr>
    </w:tbl>
    <w:p>
      <w:pPr>
        <w:spacing w:after="80"/>
      </w:pPr>
    </w:p>
    <w:p>
      <w:pPr>
        <w:pStyle w:val="Heading2"/>
        <w:spacing w:after="120" w:before="240"/>
      </w:pPr>
      <w:r>
        <w:rPr>
          <w:rFonts w:ascii="Arial" w:cs="Arial" w:eastAsia="Arial" w:hAnsi="Arial"/>
          <w:b/>
          <w:bCs/>
          <w:color w:val="2E75B6"/>
          <w:sz w:val="26"/>
          <w:szCs w:val="26"/>
        </w:rPr>
        <w:t xml:space="preserve">6.3  Evidence Folder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pPr>
              <w:spacing w:after="20"/>
            </w:pPr>
            <w:r>
              <w:rPr>
                <w:rFonts w:ascii="Courier New" w:cs="Courier New" w:eastAsia="Courier New" w:hAnsi="Courier New"/>
                <w:color w:val="00FF41"/>
                <w:sz w:val="18"/>
                <w:szCs w:val="18"/>
              </w:rPr>
              <w:t xml:space="preserve">BM-Evidence/</w:t>
            </w:r>
          </w:p>
          <w:p>
            <w:pPr>
              <w:spacing w:after="20"/>
            </w:pPr>
            <w:r>
              <w:rPr>
                <w:rFonts w:ascii="Courier New" w:cs="Courier New" w:eastAsia="Courier New" w:hAnsi="Courier New"/>
                <w:color w:val="00FF41"/>
                <w:sz w:val="18"/>
                <w:szCs w:val="18"/>
              </w:rPr>
              <w:t xml:space="preserve">├── BM-001/</w:t>
            </w:r>
          </w:p>
          <w:p>
            <w:pPr>
              <w:spacing w:after="20"/>
            </w:pPr>
            <w:r>
              <w:rPr>
                <w:rFonts w:ascii="Courier New" w:cs="Courier New" w:eastAsia="Courier New" w:hAnsi="Courier New"/>
                <w:color w:val="00FF41"/>
                <w:sz w:val="18"/>
                <w:szCs w:val="18"/>
              </w:rPr>
              <w:t xml:space="preserve">│   ├── bm001_intake_sheet.txt</w:t>
            </w:r>
          </w:p>
          <w:p>
            <w:pPr>
              <w:spacing w:after="20"/>
            </w:pPr>
            <w:r>
              <w:rPr>
                <w:rFonts w:ascii="Courier New" w:cs="Courier New" w:eastAsia="Courier New" w:hAnsi="Courier New"/>
                <w:color w:val="00FF41"/>
                <w:sz w:val="18"/>
                <w:szCs w:val="18"/>
              </w:rPr>
              <w:t xml:space="preserve">│   ├── bm001_file_registry.csv</w:t>
            </w:r>
          </w:p>
          <w:p>
            <w:pPr>
              <w:spacing w:after="20"/>
            </w:pPr>
            <w:r>
              <w:rPr>
                <w:rFonts w:ascii="Courier New" w:cs="Courier New" w:eastAsia="Courier New" w:hAnsi="Courier New"/>
                <w:color w:val="00FF41"/>
                <w:sz w:val="18"/>
                <w:szCs w:val="18"/>
              </w:rPr>
              <w:t xml:space="preserve">│   ├── bm001_parser_mbs.log</w:t>
            </w:r>
          </w:p>
          <w:p>
            <w:pPr>
              <w:spacing w:after="20"/>
            </w:pPr>
            <w:r>
              <w:rPr>
                <w:rFonts w:ascii="Courier New" w:cs="Courier New" w:eastAsia="Courier New" w:hAnsi="Courier New"/>
                <w:color w:val="00FF41"/>
                <w:sz w:val="18"/>
                <w:szCs w:val="18"/>
              </w:rPr>
              <w:t xml:space="preserve">│   ├── bm001_extraction_log.csv</w:t>
            </w:r>
          </w:p>
          <w:p>
            <w:pPr>
              <w:spacing w:after="20"/>
            </w:pPr>
            <w:r>
              <w:rPr>
                <w:rFonts w:ascii="Courier New" w:cs="Courier New" w:eastAsia="Courier New" w:hAnsi="Courier New"/>
                <w:color w:val="00FF41"/>
                <w:sz w:val="18"/>
                <w:szCs w:val="18"/>
              </w:rPr>
              <w:t xml:space="preserve">│   ├── bm001_field_value_store.csv</w:t>
            </w:r>
          </w:p>
          <w:p>
            <w:pPr>
              <w:spacing w:after="20"/>
            </w:pPr>
            <w:r>
              <w:rPr>
                <w:rFonts w:ascii="Courier New" w:cs="Courier New" w:eastAsia="Courier New" w:hAnsi="Courier New"/>
                <w:color w:val="00FF41"/>
                <w:sz w:val="18"/>
                <w:szCs w:val="18"/>
              </w:rPr>
              <w:t xml:space="preserve">│   ├── bm001_population_summary.txt</w:t>
            </w:r>
          </w:p>
          <w:p>
            <w:pPr>
              <w:spacing w:after="20"/>
            </w:pPr>
            <w:r>
              <w:rPr>
                <w:rFonts w:ascii="Courier New" w:cs="Courier New" w:eastAsia="Courier New" w:hAnsi="Courier New"/>
                <w:color w:val="00FF41"/>
                <w:sz w:val="18"/>
                <w:szCs w:val="18"/>
              </w:rPr>
              <w:t xml:space="preserve">│   ├── bm001_flags.csv</w:t>
            </w:r>
          </w:p>
          <w:p>
            <w:pPr>
              <w:spacing w:after="20"/>
            </w:pPr>
            <w:r>
              <w:rPr>
                <w:rFonts w:ascii="Courier New" w:cs="Courier New" w:eastAsia="Courier New" w:hAnsi="Courier New"/>
                <w:color w:val="00FF41"/>
                <w:sz w:val="18"/>
                <w:szCs w:val="18"/>
              </w:rPr>
              <w:t xml:space="preserve">│   ├── bm001_validation_results.csv</w:t>
            </w:r>
          </w:p>
          <w:p>
            <w:pPr>
              <w:spacing w:after="20"/>
            </w:pPr>
            <w:r>
              <w:rPr>
                <w:rFonts w:ascii="Courier New" w:cs="Courier New" w:eastAsia="Courier New" w:hAnsi="Courier New"/>
                <w:color w:val="00FF41"/>
                <w:sz w:val="18"/>
                <w:szCs w:val="18"/>
              </w:rPr>
              <w:t xml:space="preserve">│   ├── bm001_blockers.csv</w:t>
            </w:r>
          </w:p>
          <w:p>
            <w:pPr>
              <w:spacing w:after="20"/>
            </w:pPr>
            <w:r>
              <w:rPr>
                <w:rFonts w:ascii="Courier New" w:cs="Courier New" w:eastAsia="Courier New" w:hAnsi="Courier New"/>
                <w:color w:val="00FF41"/>
                <w:sz w:val="18"/>
                <w:szCs w:val="18"/>
              </w:rPr>
              <w:t xml:space="preserve">│   ├── bm001_stage_status.txt</w:t>
            </w:r>
          </w:p>
          <w:p>
            <w:pPr>
              <w:spacing w:after="20"/>
            </w:pPr>
            <w:r>
              <w:rPr>
                <w:rFonts w:ascii="Courier New" w:cs="Courier New" w:eastAsia="Courier New" w:hAnsi="Courier New"/>
                <w:color w:val="00FF41"/>
                <w:sz w:val="18"/>
                <w:szCs w:val="18"/>
              </w:rPr>
              <w:t xml:space="preserve">│   ├── bm001_audit_count.txt</w:t>
            </w:r>
          </w:p>
          <w:p>
            <w:pPr>
              <w:spacing w:after="20"/>
            </w:pPr>
            <w:r>
              <w:rPr>
                <w:rFonts w:ascii="Courier New" w:cs="Courier New" w:eastAsia="Courier New" w:hAnsi="Courier New"/>
                <w:color w:val="00FF41"/>
                <w:sz w:val="18"/>
                <w:szCs w:val="18"/>
              </w:rPr>
              <w:t xml:space="preserve">│   ├── bm001_audit_sample.csv</w:t>
            </w:r>
          </w:p>
          <w:p>
            <w:pPr>
              <w:spacing w:after="20"/>
            </w:pPr>
            <w:r>
              <w:rPr>
                <w:rFonts w:ascii="Courier New" w:cs="Courier New" w:eastAsia="Courier New" w:hAnsi="Courier New"/>
                <w:color w:val="00FF41"/>
                <w:sz w:val="18"/>
                <w:szCs w:val="18"/>
              </w:rPr>
              <w:t xml:space="preserve">│   ├── bm001_ui_*.png</w:t>
            </w:r>
          </w:p>
          <w:p>
            <w:pPr>
              <w:spacing w:after="20"/>
            </w:pPr>
            <w:r>
              <w:rPr>
                <w:rFonts w:ascii="Courier New" w:cs="Courier New" w:eastAsia="Courier New" w:hAnsi="Courier New"/>
                <w:color w:val="00FF41"/>
                <w:sz w:val="18"/>
                <w:szCs w:val="18"/>
              </w:rPr>
              <w:t xml:space="preserve">│   ├── bm001_integrity.txt</w:t>
            </w:r>
          </w:p>
          <w:p>
            <w:pPr>
              <w:spacing w:after="20"/>
            </w:pPr>
            <w:r>
              <w:rPr>
                <w:rFonts w:ascii="Courier New" w:cs="Courier New" w:eastAsia="Courier New" w:hAnsi="Courier New"/>
                <w:color w:val="00FF41"/>
                <w:sz w:val="18"/>
                <w:szCs w:val="18"/>
              </w:rPr>
              <w:t xml:space="preserve">│   ├── bm001_defects.csv</w:t>
            </w:r>
          </w:p>
          <w:p>
            <w:pPr>
              <w:spacing w:after="20"/>
            </w:pPr>
            <w:r>
              <w:rPr>
                <w:rFonts w:ascii="Courier New" w:cs="Courier New" w:eastAsia="Courier New" w:hAnsi="Courier New"/>
                <w:color w:val="00FF41"/>
                <w:sz w:val="18"/>
                <w:szCs w:val="18"/>
              </w:rPr>
              <w:t xml:space="preserve">│   └── IFS-BM-REPORT-001-[DATE].md</w:t>
            </w:r>
          </w:p>
          <w:p>
            <w:pPr>
              <w:spacing w:after="20"/>
            </w:pPr>
            <w:r>
              <w:rPr>
                <w:rFonts w:ascii="Courier New" w:cs="Courier New" w:eastAsia="Courier New" w:hAnsi="Courier New"/>
                <w:color w:val="00FF41"/>
                <w:sz w:val="18"/>
                <w:szCs w:val="18"/>
              </w:rPr>
              <w:t xml:space="preserve">├── BM-002/  [same structure + bm002_fallback_chain.txt + bm002_manual_review.txt]</w:t>
            </w:r>
          </w:p>
          <w:p>
            <w:pPr>
              <w:spacing w:after="20"/>
            </w:pPr>
            <w:r>
              <w:rPr>
                <w:rFonts w:ascii="Courier New" w:cs="Courier New" w:eastAsia="Courier New" w:hAnsi="Courier New"/>
                <w:color w:val="00FF41"/>
                <w:sz w:val="18"/>
                <w:szCs w:val="18"/>
              </w:rPr>
              <w:t xml:space="preserve">├── BM-003/  [same structure + bm003_conflicts.csv + bm003_rc_results.csv + bm003_manual_review.txt]</w:t>
            </w:r>
          </w:p>
          <w:p>
            <w:pPr>
              <w:spacing w:after="20"/>
            </w:pPr>
            <w:r>
              <w:rPr>
                <w:rFonts w:ascii="Courier New" w:cs="Courier New" w:eastAsia="Courier New" w:hAnsi="Courier New"/>
                <w:color w:val="00FF41"/>
                <w:sz w:val="18"/>
                <w:szCs w:val="18"/>
              </w:rPr>
              <w:t xml:space="preserve">├── BM-004/  [same structure + bm004_fallback_chain.txt + bm004_rc_results.csv]</w:t>
            </w:r>
          </w:p>
          <w:p>
            <w:pPr>
              <w:spacing w:after="20"/>
            </w:pPr>
            <w:r>
              <w:rPr>
                <w:rFonts w:ascii="Courier New" w:cs="Courier New" w:eastAsia="Courier New" w:hAnsi="Courier New"/>
                <w:color w:val="00FF41"/>
                <w:sz w:val="18"/>
                <w:szCs w:val="18"/>
              </w:rPr>
              <w:t xml:space="preserve">└── BM-005/  [FULL set — all 21 evidence items including witness sign-off]</w:t>
            </w:r>
          </w:p>
        </w:tc>
      </w:tr>
    </w:tbl>
    <w:p>
      <w:pPr>
        <w:spacing w:after="80"/>
      </w:pPr>
    </w:p>
    <w:p>
      <w:pPr>
        <w:pStyle w:val="Heading2"/>
        <w:spacing w:after="120" w:before="240"/>
      </w:pPr>
      <w:r>
        <w:rPr>
          <w:rFonts w:ascii="Arial" w:cs="Arial" w:eastAsia="Arial" w:hAnsi="Arial"/>
          <w:b/>
          <w:bCs/>
          <w:color w:val="2E75B6"/>
          <w:sz w:val="26"/>
          <w:szCs w:val="26"/>
        </w:rPr>
        <w:t xml:space="preserve">6.4  Defect Log Format (bm[n]_defects.csv)</w:t>
      </w:r>
    </w:p>
    <w:p>
      <w:pPr>
        <w:spacing w:after="160"/>
        <w:jc w:val="left"/>
      </w:pPr>
      <w:r>
        <w:rPr>
          <w:rFonts w:ascii="Arial" w:cs="Arial" w:eastAsia="Arial" w:hAnsi="Arial"/>
          <w:b w:val="false"/>
          <w:bCs w:val="false"/>
          <w:i w:val="false"/>
          <w:iCs w:val="false"/>
          <w:color w:val="000000"/>
          <w:sz w:val="19"/>
          <w:szCs w:val="19"/>
        </w:rPr>
        <w:t xml:space="preserve">Every defect discovered during benchmark execution must be logged using the following schema. Defects are NOT excuses to skip evidence capture — they are the primary output of the benchmark cycle.</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E26B0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Defect Log Field</w:t>
            </w:r>
          </w:p>
        </w:tc>
        <w:tc>
          <w:tcPr>
            <w:tcW w:type="dxa" w:w="6960"/>
            <w:shd w:fill="E26B0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Value / Format</w:t>
            </w:r>
          </w:p>
        </w:tc>
      </w:tr>
      <w:tr>
        <w:tc>
          <w:tcPr>
            <w:tcW w:type="dxa" w:w="2400"/>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defect_id</w:t>
            </w:r>
          </w:p>
        </w:tc>
        <w:tc>
          <w:tcPr>
            <w:tcW w:type="dxa" w:w="6960"/>
            <w:shd w:fill="FFF2CC"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DEF-BM[N]-[SEQ]  (e.g. DEF-BM005-001)</w:t>
            </w:r>
          </w:p>
        </w:tc>
      </w:tr>
      <w:tr>
        <w:tc>
          <w:tcPr>
            <w:tcW w:type="dxa" w:w="2400"/>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benchmark_job_id</w:t>
            </w:r>
          </w:p>
        </w:tc>
        <w:tc>
          <w:tcPr>
            <w:tcW w:type="dxa" w:w="6960"/>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BM-001 … BM-005</w:t>
            </w:r>
          </w:p>
        </w:tc>
      </w:tr>
      <w:tr>
        <w:tc>
          <w:tcPr>
            <w:tcW w:type="dxa" w:w="2400"/>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run_date</w:t>
            </w:r>
          </w:p>
        </w:tc>
        <w:tc>
          <w:tcPr>
            <w:tcW w:type="dxa" w:w="6960"/>
            <w:shd w:fill="FFF2CC"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YYYY-MM-DD</w:t>
            </w:r>
          </w:p>
        </w:tc>
      </w:tr>
      <w:tr>
        <w:tc>
          <w:tcPr>
            <w:tcW w:type="dxa" w:w="2400"/>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severity</w:t>
            </w:r>
          </w:p>
        </w:tc>
        <w:tc>
          <w:tcPr>
            <w:tcW w:type="dxa" w:w="6960"/>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BLOCKER | HIGH | MEDIUM | LOW</w:t>
            </w:r>
          </w:p>
        </w:tc>
      </w:tr>
      <w:tr>
        <w:tc>
          <w:tcPr>
            <w:tcW w:type="dxa" w:w="2400"/>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component</w:t>
            </w:r>
          </w:p>
        </w:tc>
        <w:tc>
          <w:tcPr>
            <w:tcW w:type="dxa" w:w="6960"/>
            <w:shd w:fill="FFF2CC"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MBSParser | STAADParser | ETABSParser | ProtaParser | ConflictResolver | RuleEngine-L[n] | UI | DB</w:t>
            </w:r>
          </w:p>
        </w:tc>
      </w:tr>
      <w:tr>
        <w:tc>
          <w:tcPr>
            <w:tcW w:type="dxa" w:w="2400"/>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field_id_affected</w:t>
            </w:r>
          </w:p>
        </w:tc>
        <w:tc>
          <w:tcPr>
            <w:tcW w:type="dxa" w:w="6960"/>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F-001 … F-196 (or ALL if systemic)</w:t>
            </w:r>
          </w:p>
        </w:tc>
      </w:tr>
      <w:tr>
        <w:tc>
          <w:tcPr>
            <w:tcW w:type="dxa" w:w="2400"/>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rule_id_triggered</w:t>
            </w:r>
          </w:p>
        </w:tc>
        <w:tc>
          <w:tcPr>
            <w:tcW w:type="dxa" w:w="6960"/>
            <w:shd w:fill="FFF2CC"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R-nnn | FB-RULE-nnn | RC-nnn (if applicable)</w:t>
            </w:r>
          </w:p>
        </w:tc>
      </w:tr>
      <w:tr>
        <w:tc>
          <w:tcPr>
            <w:tcW w:type="dxa" w:w="2400"/>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flag_raised</w:t>
            </w:r>
          </w:p>
        </w:tc>
        <w:tc>
          <w:tcPr>
            <w:tcW w:type="dxa" w:w="6960"/>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FB-RULE-013 | OCR_USED_MANDATORY_REVIEW | CONFLICT_LOGGED | etc.</w:t>
            </w:r>
          </w:p>
        </w:tc>
      </w:tr>
      <w:tr>
        <w:tc>
          <w:tcPr>
            <w:tcW w:type="dxa" w:w="2400"/>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expected_behaviour</w:t>
            </w:r>
          </w:p>
        </w:tc>
        <w:tc>
          <w:tcPr>
            <w:tcW w:type="dxa" w:w="6960"/>
            <w:shd w:fill="FFF2CC"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What the system should have done per frozen spec</w:t>
            </w:r>
          </w:p>
        </w:tc>
      </w:tr>
      <w:tr>
        <w:tc>
          <w:tcPr>
            <w:tcW w:type="dxa" w:w="2400"/>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actual_behaviour</w:t>
            </w:r>
          </w:p>
        </w:tc>
        <w:tc>
          <w:tcPr>
            <w:tcW w:type="dxa" w:w="6960"/>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What the system actually did</w:t>
            </w:r>
          </w:p>
        </w:tc>
      </w:tr>
      <w:tr>
        <w:tc>
          <w:tcPr>
            <w:tcW w:type="dxa" w:w="2400"/>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evidence_reference</w:t>
            </w:r>
          </w:p>
        </w:tc>
        <w:tc>
          <w:tcPr>
            <w:tcW w:type="dxa" w:w="6960"/>
            <w:shd w:fill="FFF2CC"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E-BM-[nn] — specific evidence file</w:t>
            </w:r>
          </w:p>
        </w:tc>
      </w:tr>
      <w:tr>
        <w:tc>
          <w:tcPr>
            <w:tcW w:type="dxa" w:w="2400"/>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resolution_owner</w:t>
            </w:r>
          </w:p>
        </w:tc>
        <w:tc>
          <w:tcPr>
            <w:tcW w:type="dxa" w:w="6960"/>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[Role name]</w:t>
            </w:r>
          </w:p>
        </w:tc>
      </w:tr>
      <w:tr>
        <w:tc>
          <w:tcPr>
            <w:tcW w:type="dxa" w:w="2400"/>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resolution_target_date</w:t>
            </w:r>
          </w:p>
        </w:tc>
        <w:tc>
          <w:tcPr>
            <w:tcW w:type="dxa" w:w="6960"/>
            <w:shd w:fill="FFF2CC"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YYYY-MM-DD</w:t>
            </w:r>
          </w:p>
        </w:tc>
      </w:tr>
      <w:tr>
        <w:tc>
          <w:tcPr>
            <w:tcW w:type="dxa" w:w="2400"/>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status</w:t>
            </w:r>
          </w:p>
        </w:tc>
        <w:tc>
          <w:tcPr>
            <w:tcW w:type="dxa" w:w="6960"/>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OPEN | IN PROGRESS | RESOLVED | WAIVED</w:t>
            </w:r>
          </w:p>
        </w:tc>
      </w:tr>
      <w:tr>
        <w:tc>
          <w:tcPr>
            <w:tcW w:type="dxa" w:w="2400"/>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resolution_note</w:t>
            </w:r>
          </w:p>
        </w:tc>
        <w:tc>
          <w:tcPr>
            <w:tcW w:type="dxa" w:w="6960"/>
            <w:shd w:fill="FFF2CC"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[Free text — what was fixed / why waived]</w:t>
            </w:r>
          </w:p>
        </w:tc>
      </w:tr>
      <w:tr>
        <w:tc>
          <w:tcPr>
            <w:tcW w:type="dxa" w:w="2400"/>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ccb_required</w:t>
            </w:r>
          </w:p>
        </w:tc>
        <w:tc>
          <w:tcPr>
            <w:tcW w:type="dxa" w:w="6960"/>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YES / NO — YES if the defect requires a CCB-approved spec deviation</w:t>
            </w:r>
          </w:p>
        </w:tc>
      </w:tr>
    </w:tbl>
    <w:p>
      <w:pPr>
        <w:spacing w:after="80"/>
      </w:pPr>
    </w:p>
    <w:p>
      <w:pPr>
        <w:pStyle w:val="Heading2"/>
        <w:spacing w:after="120" w:before="240"/>
      </w:pPr>
      <w:r>
        <w:rPr>
          <w:rFonts w:ascii="Arial" w:cs="Arial" w:eastAsia="Arial" w:hAnsi="Arial"/>
          <w:b/>
          <w:bCs/>
          <w:color w:val="2E75B6"/>
          <w:sz w:val="26"/>
          <w:szCs w:val="26"/>
        </w:rPr>
        <w:t xml:space="preserve">6.5  benchmark_project_log DB Record (Post-Run)</w:t>
      </w:r>
    </w:p>
    <w:p>
      <w:pPr>
        <w:spacing w:after="160"/>
        <w:jc w:val="left"/>
      </w:pPr>
      <w:r>
        <w:rPr>
          <w:rFonts w:ascii="Arial" w:cs="Arial" w:eastAsia="Arial" w:hAnsi="Arial"/>
          <w:b w:val="false"/>
          <w:bCs w:val="false"/>
          <w:i w:val="false"/>
          <w:iCs w:val="false"/>
          <w:color w:val="000000"/>
          <w:sz w:val="19"/>
          <w:szCs w:val="19"/>
        </w:rPr>
        <w:t xml:space="preserve">After each run, QA Lead inserts a record into benchmark_project_log with the following fields: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3000"/>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DB Column</w:t>
            </w:r>
          </w:p>
        </w:tc>
        <w:tc>
          <w:tcPr>
            <w:tcW w:type="dxa" w:w="6360"/>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Value</w:t>
            </w:r>
          </w:p>
        </w:tc>
      </w:tr>
      <w:tr>
        <w:tc>
          <w:tcPr>
            <w:tcW w:type="dxa" w:w="2400"/>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benchmark_id</w:t>
            </w:r>
          </w:p>
        </w:tc>
        <w:tc>
          <w:tcPr>
            <w:tcW w:type="dxa" w:w="6960"/>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IFS-BM-[JOB_ID]-[DATE]</w:t>
            </w:r>
          </w:p>
        </w:tc>
      </w:tr>
      <w:tr>
        <w:tc>
          <w:tcPr>
            <w:tcW w:type="dxa" w:w="2400"/>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project_uuid</w:t>
            </w:r>
          </w:p>
        </w:tc>
        <w:tc>
          <w:tcPr>
            <w:tcW w:type="dxa" w:w="6960"/>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UUID assigned at project creation in project_master</w:t>
            </w:r>
          </w:p>
        </w:tc>
      </w:tr>
      <w:tr>
        <w:tc>
          <w:tcPr>
            <w:tcW w:type="dxa" w:w="2400"/>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job_classification</w:t>
            </w:r>
          </w:p>
        </w:tc>
        <w:tc>
          <w:tcPr>
            <w:tcW w:type="dxa" w:w="6960"/>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Simple_MBS | Medium_MBS | STAAD | ETABS_Prota | Complex_PEB</w:t>
            </w:r>
          </w:p>
        </w:tc>
      </w:tr>
      <w:tr>
        <w:tc>
          <w:tcPr>
            <w:tcW w:type="dxa" w:w="2400"/>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run_sequence</w:t>
            </w:r>
          </w:p>
        </w:tc>
        <w:tc>
          <w:tcPr>
            <w:tcW w:type="dxa" w:w="6960"/>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1 | 2 | 3 | 4 | 5</w:t>
            </w:r>
          </w:p>
        </w:tc>
      </w:tr>
      <w:tr>
        <w:tc>
          <w:tcPr>
            <w:tcW w:type="dxa" w:w="2400"/>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run_date</w:t>
            </w:r>
          </w:p>
        </w:tc>
        <w:tc>
          <w:tcPr>
            <w:tcW w:type="dxa" w:w="6960"/>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YYYY-MM-DD</w:t>
            </w:r>
          </w:p>
        </w:tc>
      </w:tr>
      <w:tr>
        <w:tc>
          <w:tcPr>
            <w:tcW w:type="dxa" w:w="2400"/>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executed_by</w:t>
            </w:r>
          </w:p>
        </w:tc>
        <w:tc>
          <w:tcPr>
            <w:tcW w:type="dxa" w:w="6960"/>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[QA Lead name]</w:t>
            </w:r>
          </w:p>
        </w:tc>
      </w:tr>
      <w:tr>
        <w:tc>
          <w:tcPr>
            <w:tcW w:type="dxa" w:w="2400"/>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overall_result</w:t>
            </w:r>
          </w:p>
        </w:tc>
        <w:tc>
          <w:tcPr>
            <w:tcW w:type="dxa" w:w="6960"/>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PASS | FAIL | PARTIAL</w:t>
            </w:r>
          </w:p>
        </w:tc>
      </w:tr>
      <w:tr>
        <w:tc>
          <w:tcPr>
            <w:tcW w:type="dxa" w:w="2400"/>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fields_populated</w:t>
            </w:r>
          </w:p>
        </w:tc>
        <w:tc>
          <w:tcPr>
            <w:tcW w:type="dxa" w:w="6960"/>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INTEGER (count of POPULATED fields)</w:t>
            </w:r>
          </w:p>
        </w:tc>
      </w:tr>
      <w:tr>
        <w:tc>
          <w:tcPr>
            <w:tcW w:type="dxa" w:w="2400"/>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fields_unresolved</w:t>
            </w:r>
          </w:p>
        </w:tc>
        <w:tc>
          <w:tcPr>
            <w:tcW w:type="dxa" w:w="6960"/>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INTEGER (count of UNRESOLVED fields)</w:t>
            </w:r>
          </w:p>
        </w:tc>
      </w:tr>
      <w:tr>
        <w:tc>
          <w:tcPr>
            <w:tcW w:type="dxa" w:w="2400"/>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release_blockers_raised</w:t>
            </w:r>
          </w:p>
        </w:tc>
        <w:tc>
          <w:tcPr>
            <w:tcW w:type="dxa" w:w="6960"/>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INTEGER (count of generation_blocked=1 rows)</w:t>
            </w:r>
          </w:p>
        </w:tc>
      </w:tr>
      <w:tr>
        <w:tc>
          <w:tcPr>
            <w:tcW w:type="dxa" w:w="2400"/>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flags_triggered</w:t>
            </w:r>
          </w:p>
        </w:tc>
        <w:tc>
          <w:tcPr>
            <w:tcW w:type="dxa" w:w="6960"/>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TEXT JSON array of flag codes triggered</w:t>
            </w:r>
          </w:p>
        </w:tc>
      </w:tr>
      <w:tr>
        <w:tc>
          <w:tcPr>
            <w:tcW w:type="dxa" w:w="2400"/>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defect_count</w:t>
            </w:r>
          </w:p>
        </w:tc>
        <w:tc>
          <w:tcPr>
            <w:tcW w:type="dxa" w:w="6960"/>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INTEGER</w:t>
            </w:r>
          </w:p>
        </w:tc>
      </w:tr>
      <w:tr>
        <w:tc>
          <w:tcPr>
            <w:tcW w:type="dxa" w:w="2400"/>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blocker_defect_count</w:t>
            </w:r>
          </w:p>
        </w:tc>
        <w:tc>
          <w:tcPr>
            <w:tcW w:type="dxa" w:w="6960"/>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INTEGER (BLOCKER severity defects)</w:t>
            </w:r>
          </w:p>
        </w:tc>
      </w:tr>
      <w:tr>
        <w:tc>
          <w:tcPr>
            <w:tcW w:type="dxa" w:w="2400"/>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evidence_folder_path</w:t>
            </w:r>
          </w:p>
        </w:tc>
        <w:tc>
          <w:tcPr>
            <w:tcW w:type="dxa" w:w="6960"/>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BM-Evidence/BM-[N]/</w:t>
            </w:r>
          </w:p>
        </w:tc>
      </w:tr>
      <w:tr>
        <w:tc>
          <w:tcPr>
            <w:tcW w:type="dxa" w:w="2400"/>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report_path</w:t>
            </w:r>
          </w:p>
        </w:tc>
        <w:tc>
          <w:tcPr>
            <w:tcW w:type="dxa" w:w="6960"/>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BM-Evidence/BM-[N]/IFS-BM-REPORT-[N]-[DATE].md</w:t>
            </w:r>
          </w:p>
        </w:tc>
      </w:tr>
      <w:tr>
        <w:tc>
          <w:tcPr>
            <w:tcW w:type="dxa" w:w="2400"/>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ccb_review_required</w:t>
            </w:r>
          </w:p>
        </w:tc>
        <w:tc>
          <w:tcPr>
            <w:tcW w:type="dxa" w:w="6960"/>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0 | 1</w:t>
            </w:r>
          </w:p>
        </w:tc>
      </w:tr>
      <w:tr>
        <w:tc>
          <w:tcPr>
            <w:tcW w:type="dxa" w:w="2400"/>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sign_off_qalead</w:t>
            </w:r>
          </w:p>
        </w:tc>
        <w:tc>
          <w:tcPr>
            <w:tcW w:type="dxa" w:w="6960"/>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[name + date]</w:t>
            </w:r>
          </w:p>
        </w:tc>
      </w:tr>
      <w:tr>
        <w:tc>
          <w:tcPr>
            <w:tcW w:type="dxa" w:w="2400"/>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sign_off_ccbchair</w:t>
            </w:r>
          </w:p>
        </w:tc>
        <w:tc>
          <w:tcPr>
            <w:tcW w:type="dxa" w:w="6960"/>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[name + date — BM-005 only]</w:t>
            </w:r>
          </w:p>
        </w:tc>
      </w:tr>
    </w:tbl>
    <w:p>
      <w:pPr>
        <w:spacing w:after="80"/>
      </w:pPr>
    </w:p>
    <w:p>
      <w:pPr>
        <w:pStyle w:val="Heading2"/>
        <w:spacing w:after="120" w:before="240"/>
      </w:pPr>
      <w:r>
        <w:rPr>
          <w:rFonts w:ascii="Arial" w:cs="Arial" w:eastAsia="Arial" w:hAnsi="Arial"/>
          <w:b/>
          <w:bCs/>
          <w:color w:val="2E75B6"/>
          <w:sz w:val="26"/>
          <w:szCs w:val="26"/>
        </w:rPr>
        <w:t xml:space="preserve">6.6  Run Sign-Off Sheet</w:t>
      </w:r>
    </w:p>
    <w:p>
      <w:pPr>
        <w:spacing w:after="160"/>
        <w:jc w:val="left"/>
      </w:pPr>
      <w:r>
        <w:rPr>
          <w:rFonts w:ascii="Arial" w:cs="Arial" w:eastAsia="Arial" w:hAnsi="Arial"/>
          <w:b w:val="false"/>
          <w:bCs w:val="false"/>
          <w:i w:val="false"/>
          <w:iCs w:val="false"/>
          <w:color w:val="000000"/>
          <w:sz w:val="19"/>
          <w:szCs w:val="19"/>
        </w:rPr>
        <w:t xml:space="preserve">Each benchmark run report must be signed before the result is entered into benchmark_project_log.</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Role</w:t>
            </w:r>
          </w:p>
        </w:tc>
        <w:tc>
          <w:tcPr>
            <w:tcW w:type="dxa" w:w="2400"/>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Name</w:t>
            </w:r>
          </w:p>
        </w:tc>
        <w:tc>
          <w:tcPr>
            <w:tcW w:type="dxa" w:w="2400"/>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Signature</w:t>
            </w:r>
          </w:p>
        </w:tc>
        <w:tc>
          <w:tcPr>
            <w:tcW w:type="dxa" w:w="2160"/>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Date</w:t>
            </w:r>
          </w:p>
        </w:tc>
      </w:tr>
      <w:tr>
        <w:tc>
          <w:tcPr>
            <w:tcW w:type="dxa" w:w="2400"/>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QA Lead</w:t>
            </w:r>
          </w:p>
        </w:tc>
        <w:tc>
          <w:tcPr>
            <w:tcW w:type="dxa" w:w="24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_______________</w:t>
            </w:r>
          </w:p>
        </w:tc>
        <w:tc>
          <w:tcPr>
            <w:tcW w:type="dxa" w:w="24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_______________</w:t>
            </w:r>
          </w:p>
        </w:tc>
        <w:tc>
          <w:tcPr>
            <w:tcW w:type="dxa" w:w="216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____/____/______</w:t>
            </w:r>
          </w:p>
        </w:tc>
      </w:tr>
      <w:tr>
        <w:tc>
          <w:tcPr>
            <w:tcW w:type="dxa" w:w="2400"/>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Parser Team Lead</w:t>
            </w:r>
          </w:p>
        </w:tc>
        <w:tc>
          <w:tcPr>
            <w:tcW w:type="dxa" w:w="240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_______________</w:t>
            </w:r>
          </w:p>
        </w:tc>
        <w:tc>
          <w:tcPr>
            <w:tcW w:type="dxa" w:w="240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_______________</w:t>
            </w:r>
          </w:p>
        </w:tc>
        <w:tc>
          <w:tcPr>
            <w:tcW w:type="dxa" w:w="216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____/____/______</w:t>
            </w:r>
          </w:p>
        </w:tc>
      </w:tr>
      <w:tr>
        <w:tc>
          <w:tcPr>
            <w:tcW w:type="dxa" w:w="2400"/>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Backend Team Lead</w:t>
            </w:r>
          </w:p>
        </w:tc>
        <w:tc>
          <w:tcPr>
            <w:tcW w:type="dxa" w:w="24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_______________</w:t>
            </w:r>
          </w:p>
        </w:tc>
        <w:tc>
          <w:tcPr>
            <w:tcW w:type="dxa" w:w="24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_______________</w:t>
            </w:r>
          </w:p>
        </w:tc>
        <w:tc>
          <w:tcPr>
            <w:tcW w:type="dxa" w:w="216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____/____/______</w:t>
            </w:r>
          </w:p>
        </w:tc>
      </w:tr>
      <w:tr>
        <w:tc>
          <w:tcPr>
            <w:tcW w:type="dxa" w:w="2400"/>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Detailing Lead (BM-004/005 only)</w:t>
            </w:r>
          </w:p>
        </w:tc>
        <w:tc>
          <w:tcPr>
            <w:tcW w:type="dxa" w:w="240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_______________</w:t>
            </w:r>
          </w:p>
        </w:tc>
        <w:tc>
          <w:tcPr>
            <w:tcW w:type="dxa" w:w="240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_______________</w:t>
            </w:r>
          </w:p>
        </w:tc>
        <w:tc>
          <w:tcPr>
            <w:tcW w:type="dxa" w:w="2160"/>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____/____/______</w:t>
            </w:r>
          </w:p>
        </w:tc>
      </w:tr>
      <w:tr>
        <w:tc>
          <w:tcPr>
            <w:tcW w:type="dxa" w:w="2400"/>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CCB Chair (BM-005 sign-off)</w:t>
            </w:r>
          </w:p>
        </w:tc>
        <w:tc>
          <w:tcPr>
            <w:tcW w:type="dxa" w:w="24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_______________</w:t>
            </w:r>
          </w:p>
        </w:tc>
        <w:tc>
          <w:tcPr>
            <w:tcW w:type="dxa" w:w="240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_______________</w:t>
            </w:r>
          </w:p>
        </w:tc>
        <w:tc>
          <w:tcPr>
            <w:tcW w:type="dxa" w:w="2160"/>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____/____/______</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375623" w:val="clear"/>
            <w:tcMar>
              <w:top w:type="dxa" w:w="100"/>
              <w:left w:type="dxa" w:w="180"/>
              <w:bottom w:type="dxa" w:w="100"/>
              <w:right w:type="dxa" w:w="180"/>
            </w:tcMar>
          </w:tcPr>
          <w:p>
            <w:r>
              <w:rPr>
                <w:rFonts w:ascii="Arial" w:cs="Arial" w:eastAsia="Arial" w:hAnsi="Arial"/>
                <w:b/>
                <w:bCs/>
                <w:color w:val="FFFFFF"/>
                <w:sz w:val="24"/>
                <w:szCs w:val="24"/>
              </w:rPr>
              <w:t xml:space="preserve">BENCHMARK CYCLE READY-TO-EXECUTE CONFIRMATION</w:t>
            </w:r>
          </w:p>
        </w:tc>
      </w:tr>
    </w:tbl>
    <w:p>
      <w:pPr>
        <w:spacing w:after="80"/>
      </w:pPr>
    </w:p>
    <w:p>
      <w:pPr>
        <w:spacing w:after="160"/>
        <w:jc w:val="left"/>
      </w:pPr>
      <w:r>
        <w:rPr>
          <w:rFonts w:ascii="Arial" w:cs="Arial" w:eastAsia="Arial" w:hAnsi="Arial"/>
          <w:b/>
          <w:bCs/>
          <w:i w:val="false"/>
          <w:iCs w:val="false"/>
          <w:color w:val="000000"/>
          <w:sz w:val="20"/>
          <w:szCs w:val="20"/>
        </w:rPr>
        <w:t xml:space="preserve">This pack defines a complete, self-sufficient 5-job benchmark cycle. Once integration hold (IV-2.0.0 freeze + BJ-010 PASS + CCB Charter sign-off) is cleared, execution may begin immediately with BM-001, following the order defined in Section 4.</w:t>
      </w:r>
    </w:p>
    <w:p>
      <w:pPr>
        <w:spacing w:after="80"/>
      </w:pPr>
    </w:p>
    <w:p>
      <w:pPr>
        <w:spacing w:after="160"/>
        <w:jc w:val="left"/>
      </w:pPr>
      <w:r>
        <w:rPr>
          <w:rFonts w:ascii="Arial" w:cs="Arial" w:eastAsia="Arial" w:hAnsi="Arial"/>
          <w:b/>
          <w:bCs/>
          <w:i w:val="false"/>
          <w:iCs w:val="false"/>
          <w:color w:val="1F3864"/>
          <w:sz w:val="20"/>
          <w:szCs w:val="20"/>
        </w:rPr>
        <w:t xml:space="preserve">Document ID:  IFS-BM-PREP-20260424</w:t>
      </w:r>
    </w:p>
    <w:p>
      <w:pPr>
        <w:spacing w:after="160"/>
        <w:jc w:val="left"/>
      </w:pPr>
      <w:r>
        <w:rPr>
          <w:rFonts w:ascii="Arial" w:cs="Arial" w:eastAsia="Arial" w:hAnsi="Arial"/>
          <w:b w:val="false"/>
          <w:bCs w:val="false"/>
          <w:i w:val="false"/>
          <w:iCs w:val="false"/>
          <w:color w:val="000000"/>
          <w:sz w:val="19"/>
          <w:szCs w:val="19"/>
        </w:rPr>
        <w:t xml:space="preserve">Authority Baseline:  MasterDB v3+ FROZEN | IFS-BUILD-EXEC-20260424 | TDN-DB-001</w:t>
      </w:r>
    </w:p>
    <w:p>
      <w:pPr>
        <w:spacing w:after="160"/>
        <w:jc w:val="left"/>
      </w:pPr>
      <w:r>
        <w:rPr>
          <w:rFonts w:ascii="Arial" w:cs="Arial" w:eastAsia="Arial" w:hAnsi="Arial"/>
          <w:b/>
          <w:bCs/>
          <w:i w:val="false"/>
          <w:iCs w:val="false"/>
          <w:color w:val="375623"/>
          <w:sz w:val="19"/>
          <w:szCs w:val="19"/>
        </w:rPr>
        <w:t xml:space="preserve">Status:  READY TO EXECUTE — Pending Integration Hold Clearance</w:t>
      </w:r>
    </w:p>
    <w:p>
      <w:pPr>
        <w:spacing w:after="8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4472C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2026-04-24T09:52:26.566Z</dcterms:created>
  <dcterms:modified xsi:type="dcterms:W3CDTF">2026-04-24T09:52:26.566Z</dcterms:modified>
</cp:coreProperties>
</file>

<file path=docProps/custom.xml><?xml version="1.0" encoding="utf-8"?>
<Properties xmlns="http://schemas.openxmlformats.org/officeDocument/2006/custom-properties" xmlns:vt="http://schemas.openxmlformats.org/officeDocument/2006/docPropsVTypes"/>
</file>