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400"/>
        <w:jc w:val="center"/>
      </w:pPr>
      <w:r>
        <w:t xml:space="preserve">MasterDB VERSION 2.1 — LOCAL-ONLY PATCH PLAN</w:t>
      </w:r>
    </w:p>
    <w:p>
      <w:pPr>
        <w:pStyle w:val="Subtitle"/>
        <w:spacing w:after="300"/>
        <w:jc w:val="center"/>
      </w:pPr>
      <w:r>
        <w:t xml:space="preserve">Steel Detailing Desktop Agent | No API Dependencies | Phase 2 Implementation Ready</w:t>
      </w:r>
    </w:p>
    <w:p>
      <w:pPr>
        <w:pStyle w:val="Subtitle"/>
        <w:spacing w:after="400"/>
        <w:jc w:val="center"/>
      </w:pPr>
      <w:r>
        <w:t xml:space="preserve">Infiniti Solutions | Local-Only Architecture | DWG/PDF/RAR Support | SQLite Traceability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00"/>
      </w:pPr>
      <w:r>
        <w:t xml:space="preserve">MasterDB Version 2.1 is a targeted patch release that transforms MasterDB v2 from an API-dependent architecture into a fully local-only desktop system. This patch addresses 6 critical architecture misalignments and adds 16 new modules, 10 new fields, and 25 new validation rules.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What Changed from v2 → v2.1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t xml:space="preserve">Metric</w:t>
            </w:r>
          </w:p>
        </w:tc>
        <w:tc>
          <w:tcPr>
            <w:vAlign w:val="center"/>
          </w:tcPr>
          <w:p>
            <w:r>
              <w:t xml:space="preserve">v2</w:t>
            </w:r>
          </w:p>
        </w:tc>
        <w:tc>
          <w:tcPr>
            <w:vAlign w:val="center"/>
          </w:tcPr>
          <w:p>
            <w:r>
              <w:t xml:space="preserve">v2.1</w:t>
            </w:r>
          </w:p>
        </w:tc>
        <w:tc>
          <w:tcPr>
            <w:vAlign w:val="center"/>
          </w:tcPr>
          <w:p>
            <w:r>
              <w:t xml:space="preserve">Change</w:t>
            </w:r>
          </w:p>
        </w:tc>
      </w:tr>
      <w:tr>
        <w:tc>
          <w:tcPr>
            <w:vAlign w:val="center"/>
          </w:tcPr>
          <w:p>
            <w:r>
              <w:t xml:space="preserve">Modules</w:t>
            </w:r>
          </w:p>
        </w:tc>
        <w:tc>
          <w:tcPr>
            <w:vAlign w:val="center"/>
          </w:tcPr>
          <w:p>
            <w:r>
              <w:t xml:space="preserve">44</w:t>
            </w:r>
          </w:p>
        </w:tc>
        <w:tc>
          <w:tcPr>
            <w:vAlign w:val="center"/>
          </w:tcPr>
          <w:p>
            <w:r>
              <w:t xml:space="preserve">60</w:t>
            </w:r>
          </w:p>
        </w:tc>
        <w:tc>
          <w:tcPr>
            <w:vAlign w:val="center"/>
          </w:tcPr>
          <w:p>
            <w:r>
              <w:t xml:space="preserve">+16 (local-only operation)</w:t>
            </w:r>
          </w:p>
        </w:tc>
      </w:tr>
      <w:tr>
        <w:tc>
          <w:tcPr>
            <w:vAlign w:val="center"/>
          </w:tcPr>
          <w:p>
            <w:r>
              <w:t xml:space="preserve">Fields</w:t>
            </w:r>
          </w:p>
        </w:tc>
        <w:tc>
          <w:tcPr>
            <w:vAlign w:val="center"/>
          </w:tcPr>
          <w:p>
            <w:r>
              <w:t xml:space="preserve">196</w:t>
            </w:r>
          </w:p>
        </w:tc>
        <w:tc>
          <w:tcPr>
            <w:vAlign w:val="center"/>
          </w:tcPr>
          <w:p>
            <w:r>
              <w:t xml:space="preserve">206</w:t>
            </w:r>
          </w:p>
        </w:tc>
        <w:tc>
          <w:tcPr>
            <w:vAlign w:val="center"/>
          </w:tcPr>
          <w:p>
            <w:r>
              <w:t xml:space="preserve">+10 (traceability + confidence)</w:t>
            </w:r>
          </w:p>
        </w:tc>
      </w:tr>
      <w:tr>
        <w:tc>
          <w:tcPr>
            <w:vAlign w:val="center"/>
          </w:tcPr>
          <w:p>
            <w:r>
              <w:t xml:space="preserve">Rules</w:t>
            </w:r>
          </w:p>
        </w:tc>
        <w:tc>
          <w:tcPr>
            <w:vAlign w:val="center"/>
          </w:tcPr>
          <w:p>
            <w:r>
              <w:t xml:space="preserve">229</w:t>
            </w:r>
          </w:p>
        </w:tc>
        <w:tc>
          <w:tcPr>
            <w:vAlign w:val="center"/>
          </w:tcPr>
          <w:p>
            <w:r>
              <w:t xml:space="preserve">254</w:t>
            </w:r>
          </w:p>
        </w:tc>
        <w:tc>
          <w:tcPr>
            <w:vAlign w:val="center"/>
          </w:tcPr>
          <w:p>
            <w:r>
              <w:t xml:space="preserve">+25 (parsing, scoring, conflict, audit)</w:t>
            </w:r>
          </w:p>
        </w:tc>
      </w:tr>
      <w:tr>
        <w:tc>
          <w:tcPr>
            <w:vAlign w:val="center"/>
          </w:tcPr>
          <w:p>
            <w:r>
              <w:t xml:space="preserve">Sheets</w:t>
            </w:r>
          </w:p>
        </w:tc>
        <w:tc>
          <w:tcPr>
            <w:vAlign w:val="center"/>
          </w:tcPr>
          <w:p>
            <w:r>
              <w:t xml:space="preserve">11</w:t>
            </w:r>
          </w:p>
        </w:tc>
        <w:tc>
          <w:tcPr>
            <w:vAlign w:val="center"/>
          </w:tcPr>
          <w:p>
            <w:r>
              <w:t xml:space="preserve">15</w:t>
            </w:r>
          </w:p>
        </w:tc>
        <w:tc>
          <w:tcPr>
            <w:vAlign w:val="center"/>
          </w:tcPr>
          <w:p>
            <w:r>
              <w:t xml:space="preserve">+4 new implementation sheets</w:t>
            </w:r>
          </w:p>
        </w:tc>
      </w:tr>
      <w:tr>
        <w:tc>
          <w:tcPr>
            <w:vAlign w:val="center"/>
          </w:tcPr>
          <w:p>
            <w:r>
              <w:t xml:space="preserve">Architecture</w:t>
            </w:r>
          </w:p>
        </w:tc>
        <w:tc>
          <w:tcPr>
            <w:vAlign w:val="center"/>
          </w:tcPr>
          <w:p>
            <w:r>
              <w:t xml:space="preserve">API-dependent</w:t>
            </w:r>
          </w:p>
        </w:tc>
        <w:tc>
          <w:tcPr>
            <w:vAlign w:val="center"/>
          </w:tcPr>
          <w:p>
            <w:r>
              <w:t xml:space="preserve">Local-only</w:t>
            </w:r>
          </w:p>
        </w:tc>
        <w:tc>
          <w:tcPr>
            <w:vAlign w:val="center"/>
          </w:tcPr>
          <w:p>
            <w:r>
              <w:t xml:space="preserve">No external calls</w:t>
            </w:r>
          </w:p>
        </w:tc>
      </w:tr>
      <w:tr>
        <w:tc>
          <w:tcPr>
            <w:vAlign w:val="center"/>
          </w:tcPr>
          <w:p>
            <w:r>
              <w:t xml:space="preserve">Traceability</w:t>
            </w:r>
          </w:p>
        </w:tc>
        <w:tc>
          <w:tcPr>
            <w:vAlign w:val="center"/>
          </w:tcPr>
          <w:p>
            <w:r>
              <w:t xml:space="preserve">Undefined</w:t>
            </w:r>
          </w:p>
        </w:tc>
        <w:tc>
          <w:tcPr>
            <w:vAlign w:val="center"/>
          </w:tcPr>
          <w:p>
            <w:r>
              <w:t xml:space="preserve">SQLite schema</w:t>
            </w:r>
          </w:p>
        </w:tc>
        <w:tc>
          <w:tcPr>
            <w:vAlign w:val="center"/>
          </w:tcPr>
          <w:p>
            <w:r>
              <w:t xml:space="preserve">Source→field→output mapping</w:t>
            </w:r>
          </w:p>
        </w:tc>
      </w:tr>
      <w:tr>
        <w:tc>
          <w:tcPr>
            <w:vAlign w:val="center"/>
          </w:tcPr>
          <w:p>
            <w:r>
              <w:t xml:space="preserve">Approval</w:t>
            </w:r>
          </w:p>
        </w:tc>
        <w:tc>
          <w:tcPr>
            <w:vAlign w:val="center"/>
          </w:tcPr>
          <w:p>
            <w:r>
              <w:t xml:space="preserve">External</w:t>
            </w:r>
          </w:p>
        </w:tc>
        <w:tc>
          <w:tcPr>
            <w:vAlign w:val="center"/>
          </w:tcPr>
          <w:p>
            <w:r>
              <w:t xml:space="preserve">HWID + RBAC</w:t>
            </w:r>
          </w:p>
        </w:tc>
        <w:tc>
          <w:tcPr>
            <w:vAlign w:val="center"/>
          </w:tcPr>
          <w:p>
            <w:r>
              <w:t xml:space="preserve">Hardware fingerprint auth</w:t>
            </w:r>
          </w:p>
        </w:tc>
      </w:tr>
      <w:tr>
        <w:tc>
          <w:tcPr>
            <w:vAlign w:val="center"/>
          </w:tcPr>
          <w:p>
            <w:r>
              <w:t xml:space="preserve">DWG Output</w:t>
            </w:r>
          </w:p>
        </w:tc>
        <w:tc>
          <w:tcPr>
            <w:vAlign w:val="center"/>
          </w:tcPr>
          <w:p>
            <w:r>
              <w:t xml:space="preserve">STAAD-only</w:t>
            </w:r>
          </w:p>
        </w:tc>
        <w:tc>
          <w:tcPr>
            <w:vAlign w:val="center"/>
          </w:tcPr>
          <w:p>
            <w:r>
              <w:t xml:space="preserve">ezdxf+ZwCAD+LibreOffice</w:t>
            </w:r>
          </w:p>
        </w:tc>
        <w:tc>
          <w:tcPr>
            <w:vAlign w:val="center"/>
          </w:tcPr>
          <w:p>
            <w:r>
              <w:t xml:space="preserve">DXF→DWG→PDF pipeline</w:t>
            </w:r>
          </w:p>
        </w:tc>
      </w:tr>
    </w:tbl>
    <w:r>
      <w:br w:type="page"/>
    </w:r>
    <w:p>
      <w:pPr>
        <w:pStyle w:val="Heading1"/>
        <w:spacing w:after="150" w:before="300"/>
      </w:pPr>
      <w:r>
        <w:t xml:space="preserve">CRITICAL BLOCKERS CLOSED IN v2.1</w:t>
      </w:r>
    </w:p>
    <w:p>
      <w:pPr>
        <w:spacing w:after="100"/>
      </w:pPr>
      <w:r>
        <w:t xml:space="preserve">All architecture blockers from v2 have been resolved through local-only redesign: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Blocker #1: API Dependencies (Removed)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PROBLEM: v2 designed workflow_integration_master (M-45) for external approval API calls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SOLUTION: Replaced with local RBAC (M-56) using SQLite + Windows HWID authentication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RESULT: No external API calls, fully offline operation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Blocker #2: Design Source Ambiguity (Clarified)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PROBLEM: v2 had fallback chains but no confidence scoring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SOLUTION: M-50 adds confidence scoring (0.0-1.0) per field; M-51 detects conflicts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RESULT: 90% accuracy target achievable through confidence gates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Blocker #3: DWG Generation Without External Calls (Solved)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PROBLEM: No path to generate native DWG format locally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SOLUTION: ezdxf (M-57) → ZwCAD CLI (M-58) → LibreOffice (M-59) pipeline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RESULT: DXF generation (local), DWG conversion (ZwCAD 2019), PDF export (LibreOffice), all local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Blocker #4: Archive Handling Ambiguity (Structured)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PROBLEM: 3-25 file archives need intelligent file selection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SOLUTION: M-46 precedence scorer with 4-factor algorithm (type, naming, recency, size)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RESULT: Deterministic file selection from AB/GA archives, handles rare complex cases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Blocker #5: Traceability Format (SQLite + JSON Hybrid)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PROBLEM: JSON alone is unmaintainable at 1GB scale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SOLUTION: M-53/M-54 SQLite schema for traceability + audit, JSON export for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RESULT: Fast queries, maintainable, human-readable exports, no external DB needed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Blocker #6: Multi-Source Conflict Resolution (Implemented)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PROBLEM: No explicit conflict handling when STAAD ≠ DWG ≠ PDF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SOLUTION: M-51 conflict resolution + VR-CONFLICT-01/02 with quorum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RESULT: Auto-resolve if 2+ sources agree; else escalate to engineer</w:t>
      </w:r>
    </w:p>
    <w:p>
      <w:pPr>
        <w:spacing w:after="100"/>
      </w:pPr>
    </w:p>
    <w:r>
      <w:br w:type="page"/>
    </w:r>
    <w:p>
      <w:pPr>
        <w:pStyle w:val="Heading1"/>
        <w:spacing w:after="150" w:before="300"/>
      </w:pPr>
      <w:r>
        <w:t xml:space="preserve">NEW MODULES (M-45 TO M-60)</w:t>
      </w:r>
    </w:p>
    <w:p>
      <w:pPr>
        <w:spacing w:after="100"/>
      </w:pPr>
      <w:r>
        <w:t xml:space="preserve">16 new modules added for local-only operation, replacing 4 API-dependent modules from v2: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Input Layer (M-45 to M-49): File Parsing &amp; Extraction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t xml:space="preserve">Module</w:t>
            </w:r>
          </w:p>
        </w:tc>
        <w:tc>
          <w:tcPr>
            <w:vAlign w:val="center"/>
          </w:tcPr>
          <w:p>
            <w:r>
              <w:t xml:space="preserve">Purpose</w:t>
            </w:r>
          </w:p>
        </w:tc>
        <w:tc>
          <w:tcPr>
            <w:vAlign w:val="center"/>
          </w:tcPr>
          <w:p>
            <w:r>
              <w:t xml:space="preserve">Tech Stack</w:t>
            </w:r>
          </w:p>
        </w:tc>
      </w:tr>
      <w:tr>
        <w:tc>
          <w:tcPr>
            <w:vAlign w:val="center"/>
          </w:tcPr>
          <w:p>
            <w:r>
              <w:t xml:space="preserve">M-45</w:t>
            </w:r>
          </w:p>
        </w:tc>
        <w:tc>
          <w:tcPr>
            <w:vAlign w:val="center"/>
          </w:tcPr>
          <w:p>
            <w:r>
              <w:t xml:space="preserve">Archive extraction (RAR/ZIP)</w:t>
            </w:r>
          </w:p>
        </w:tc>
        <w:tc>
          <w:tcPr>
            <w:vAlign w:val="center"/>
          </w:tcPr>
          <w:p>
            <w:r>
              <w:t xml:space="preserve">Python zipfile + rarfile</w:t>
            </w:r>
          </w:p>
        </w:tc>
      </w:tr>
      <w:tr>
        <w:tc>
          <w:tcPr>
            <w:vAlign w:val="center"/>
          </w:tcPr>
          <w:p>
            <w:r>
              <w:t xml:space="preserve">M-46</w:t>
            </w:r>
          </w:p>
        </w:tc>
        <w:tc>
          <w:tcPr>
            <w:vAlign w:val="center"/>
          </w:tcPr>
          <w:p>
            <w:r>
              <w:t xml:space="preserve">File precedence scoring (3-25 files)</w:t>
            </w:r>
          </w:p>
        </w:tc>
        <w:tc>
          <w:tcPr>
            <w:vAlign w:val="center"/>
          </w:tcPr>
          <w:p>
            <w:r>
              <w:t xml:space="preserve">Scoring algorithm + rules</w:t>
            </w:r>
          </w:p>
        </w:tc>
      </w:tr>
      <w:tr>
        <w:tc>
          <w:tcPr>
            <w:vAlign w:val="center"/>
          </w:tcPr>
          <w:p>
            <w:r>
              <w:t xml:space="preserve">M-47</w:t>
            </w:r>
          </w:p>
        </w:tc>
        <w:tc>
          <w:tcPr>
            <w:vAlign w:val="center"/>
          </w:tcPr>
          <w:p>
            <w:r>
              <w:t xml:space="preserve">DWG/DXF parsing</w:t>
            </w:r>
          </w:p>
        </w:tc>
        <w:tc>
          <w:tcPr>
            <w:vAlign w:val="center"/>
          </w:tcPr>
          <w:p>
            <w:r>
              <w:t xml:space="preserve">ezdxf library</w:t>
            </w:r>
          </w:p>
        </w:tc>
      </w:tr>
      <w:tr>
        <w:tc>
          <w:tcPr>
            <w:vAlign w:val="center"/>
          </w:tcPr>
          <w:p>
            <w:r>
              <w:t xml:space="preserve">M-48</w:t>
            </w:r>
          </w:p>
        </w:tc>
        <w:tc>
          <w:tcPr>
            <w:vAlign w:val="center"/>
          </w:tcPr>
          <w:p>
            <w:r>
              <w:t xml:space="preserve">PDF extraction (fallback)</w:t>
            </w:r>
          </w:p>
        </w:tc>
        <w:tc>
          <w:tcPr>
            <w:vAlign w:val="center"/>
          </w:tcPr>
          <w:p>
            <w:r>
              <w:t xml:space="preserve">PyPDF2 + Tesseract OCR</w:t>
            </w:r>
          </w:p>
        </w:tc>
      </w:tr>
      <w:tr>
        <w:tc>
          <w:tcPr>
            <w:vAlign w:val="center"/>
          </w:tcPr>
          <w:p>
            <w:r>
              <w:t xml:space="preserve">M-49</w:t>
            </w:r>
          </w:p>
        </w:tc>
        <w:tc>
          <w:tcPr>
            <w:vAlign w:val="center"/>
          </w:tcPr>
          <w:p>
            <w:r>
              <w:t xml:space="preserve">STAAD .std parsing</w:t>
            </w:r>
          </w:p>
        </w:tc>
        <w:tc>
          <w:tcPr>
            <w:vAlign w:val="center"/>
          </w:tcPr>
          <w:p>
            <w:r>
              <w:t xml:space="preserve">Custom regex parser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Quality Layer (M-50 to M-52): Field Extraction Quality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vAlign w:val="center"/>
          </w:tcPr>
          <w:p>
            <w:r>
              <w:t xml:space="preserve">Module</w:t>
            </w:r>
          </w:p>
        </w:tc>
        <w:tc>
          <w:tcPr>
            <w:vAlign w:val="center"/>
          </w:tcPr>
          <w:p>
            <w:r>
              <w:t xml:space="preserve">Purpose</w:t>
            </w:r>
          </w:p>
        </w:tc>
      </w:tr>
      <w:tr>
        <w:tc>
          <w:tcPr>
            <w:vAlign w:val="center"/>
          </w:tcPr>
          <w:p>
            <w:r>
              <w:t xml:space="preserve">M-50</w:t>
            </w:r>
          </w:p>
        </w:tc>
        <w:tc>
          <w:tcPr>
            <w:vAlign w:val="center"/>
          </w:tcPr>
          <w:p>
            <w:r>
              <w:t xml:space="preserve">Confidence scoring (0.0-1.0 per field)</w:t>
            </w:r>
          </w:p>
        </w:tc>
      </w:tr>
      <w:tr>
        <w:tc>
          <w:tcPr>
            <w:vAlign w:val="center"/>
          </w:tcPr>
          <w:p>
            <w:r>
              <w:t xml:space="preserve">M-51</w:t>
            </w:r>
          </w:p>
        </w:tc>
        <w:tc>
          <w:tcPr>
            <w:vAlign w:val="center"/>
          </w:tcPr>
          <w:p>
            <w:r>
              <w:t xml:space="preserve">Conflict detection &amp; multi-source resolution</w:t>
            </w:r>
          </w:p>
        </w:tc>
      </w:tr>
      <w:tr>
        <w:tc>
          <w:tcPr>
            <w:vAlign w:val="center"/>
          </w:tcPr>
          <w:p>
            <w:r>
              <w:t xml:space="preserve">M-52</w:t>
            </w:r>
          </w:p>
        </w:tc>
        <w:tc>
          <w:tcPr>
            <w:vAlign w:val="center"/>
          </w:tcPr>
          <w:p>
            <w:r>
              <w:t xml:space="preserve">Fallback chain executor (no guessing)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Audit Layer (M-53 to M-56): Traceability &amp;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t xml:space="preserve">Module</w:t>
            </w:r>
          </w:p>
        </w:tc>
        <w:tc>
          <w:tcPr>
            <w:vAlign w:val="center"/>
          </w:tcPr>
          <w:p>
            <w:r>
              <w:t xml:space="preserve">Purpose</w:t>
            </w:r>
          </w:p>
        </w:tc>
        <w:tc>
          <w:tcPr>
            <w:vAlign w:val="center"/>
          </w:tcPr>
          <w:p>
            <w:r>
              <w:t xml:space="preserve">Storage</w:t>
            </w:r>
          </w:p>
        </w:tc>
      </w:tr>
      <w:tr>
        <w:tc>
          <w:tcPr>
            <w:vAlign w:val="center"/>
          </w:tcPr>
          <w:p>
            <w:r>
              <w:t xml:space="preserve">M-53</w:t>
            </w:r>
          </w:p>
        </w:tc>
        <w:tc>
          <w:tcPr>
            <w:vAlign w:val="center"/>
          </w:tcPr>
          <w:p>
            <w:r>
              <w:t xml:space="preserve">Traceability links (field→source→output)</w:t>
            </w:r>
          </w:p>
        </w:tc>
        <w:tc>
          <w:tcPr>
            <w:vAlign w:val="center"/>
          </w:tcPr>
          <w:p>
            <w:r>
              <w:t xml:space="preserve">SQLite</w:t>
            </w:r>
          </w:p>
        </w:tc>
      </w:tr>
      <w:tr>
        <w:tc>
          <w:tcPr>
            <w:vAlign w:val="center"/>
          </w:tcPr>
          <w:p>
            <w:r>
              <w:t xml:space="preserve">M-54</w:t>
            </w:r>
          </w:p>
        </w:tc>
        <w:tc>
          <w:tcPr>
            <w:vAlign w:val="center"/>
          </w:tcPr>
          <w:p>
            <w:r>
              <w:t xml:space="preserve">Audit log (immutable, who/what/when)</w:t>
            </w:r>
          </w:p>
        </w:tc>
        <w:tc>
          <w:tcPr>
            <w:vAlign w:val="center"/>
          </w:tcPr>
          <w:p>
            <w:r>
              <w:t xml:space="preserve">SQLite</w:t>
            </w:r>
          </w:p>
        </w:tc>
      </w:tr>
      <w:tr>
        <w:tc>
          <w:tcPr>
            <w:vAlign w:val="center"/>
          </w:tcPr>
          <w:p>
            <w:r>
              <w:t xml:space="preserve">M-55</w:t>
            </w:r>
          </w:p>
        </w:tc>
        <w:tc>
          <w:tcPr>
            <w:vAlign w:val="center"/>
          </w:tcPr>
          <w:p>
            <w:r>
              <w:t xml:space="preserve">Hardware approval registry (HWID)</w:t>
            </w:r>
          </w:p>
        </w:tc>
        <w:tc>
          <w:tcPr>
            <w:vAlign w:val="center"/>
          </w:tcPr>
          <w:p>
            <w:r>
              <w:t xml:space="preserve">SQLite</w:t>
            </w:r>
          </w:p>
        </w:tc>
      </w:tr>
      <w:tr>
        <w:tc>
          <w:tcPr>
            <w:vAlign w:val="center"/>
          </w:tcPr>
          <w:p>
            <w:r>
              <w:t xml:space="preserve">M-56</w:t>
            </w:r>
          </w:p>
        </w:tc>
        <w:tc>
          <w:tcPr>
            <w:vAlign w:val="center"/>
          </w:tcPr>
          <w:p>
            <w:r>
              <w:t xml:space="preserve">Local RBAC (View|Generate|Override|Release|Admin)</w:t>
            </w:r>
          </w:p>
        </w:tc>
        <w:tc>
          <w:tcPr>
            <w:vAlign w:val="center"/>
          </w:tcPr>
          <w:p>
            <w:r>
              <w:t xml:space="preserve">SQLite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Output Layer (M-57 to M-60): DXF Generation &amp;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t xml:space="preserve">Module</w:t>
            </w:r>
          </w:p>
        </w:tc>
        <w:tc>
          <w:tcPr>
            <w:vAlign w:val="center"/>
          </w:tcPr>
          <w:p>
            <w:r>
              <w:t xml:space="preserve">Purpose</w:t>
            </w:r>
          </w:p>
        </w:tc>
        <w:tc>
          <w:tcPr>
            <w:vAlign w:val="center"/>
          </w:tcPr>
          <w:p>
            <w:r>
              <w:t xml:space="preserve">Tool</w:t>
            </w:r>
          </w:p>
        </w:tc>
      </w:tr>
      <w:tr>
        <w:tc>
          <w:tcPr>
            <w:vAlign w:val="center"/>
          </w:tcPr>
          <w:p>
            <w:r>
              <w:t xml:space="preserve">M-57</w:t>
            </w:r>
          </w:p>
        </w:tc>
        <w:tc>
          <w:tcPr>
            <w:vAlign w:val="center"/>
          </w:tcPr>
          <w:p>
            <w:r>
              <w:t xml:space="preserve">DXF generation (text-based, fast)</w:t>
            </w:r>
          </w:p>
        </w:tc>
        <w:tc>
          <w:tcPr>
            <w:vAlign w:val="center"/>
          </w:tcPr>
          <w:p>
            <w:r>
              <w:t xml:space="preserve">ezdxf</w:t>
            </w:r>
          </w:p>
        </w:tc>
      </w:tr>
      <w:tr>
        <w:tc>
          <w:tcPr>
            <w:vAlign w:val="center"/>
          </w:tcPr>
          <w:p>
            <w:r>
              <w:t xml:space="preserve">M-58</w:t>
            </w:r>
          </w:p>
        </w:tc>
        <w:tc>
          <w:tcPr>
            <w:vAlign w:val="center"/>
          </w:tcPr>
          <w:p>
            <w:r>
              <w:t xml:space="preserve">DXF→DWG conversion (local batch)</w:t>
            </w:r>
          </w:p>
        </w:tc>
        <w:tc>
          <w:tcPr>
            <w:vAlign w:val="center"/>
          </w:tcPr>
          <w:p>
            <w:r>
              <w:t xml:space="preserve">ZwCAD 2019 CLI</w:t>
            </w:r>
          </w:p>
        </w:tc>
      </w:tr>
      <w:tr>
        <w:tc>
          <w:tcPr>
            <w:vAlign w:val="center"/>
          </w:tcPr>
          <w:p>
            <w:r>
              <w:t xml:space="preserve">M-59</w:t>
            </w:r>
          </w:p>
        </w:tc>
        <w:tc>
          <w:tcPr>
            <w:vAlign w:val="center"/>
          </w:tcPr>
          <w:p>
            <w:r>
              <w:t xml:space="preserve">DWG→PDF conversion (headless)</w:t>
            </w:r>
          </w:p>
        </w:tc>
        <w:tc>
          <w:tcPr>
            <w:vAlign w:val="center"/>
          </w:tcPr>
          <w:p>
            <w:r>
              <w:t xml:space="preserve">LibreOffice</w:t>
            </w:r>
          </w:p>
        </w:tc>
      </w:tr>
      <w:tr>
        <w:tc>
          <w:tcPr>
            <w:vAlign w:val="center"/>
          </w:tcPr>
          <w:p>
            <w:r>
              <w:t xml:space="preserve">M-60</w:t>
            </w:r>
          </w:p>
        </w:tc>
        <w:tc>
          <w:tcPr>
            <w:vAlign w:val="center"/>
          </w:tcPr>
          <w:p>
            <w:r>
              <w:t xml:space="preserve">Post-generation audit (5 rules)</w:t>
            </w:r>
          </w:p>
        </w:tc>
        <w:tc>
          <w:tcPr>
            <w:vAlign w:val="center"/>
          </w:tcPr>
          <w:p>
            <w:r>
              <w:t xml:space="preserve">ezdxf + Python</w:t>
            </w:r>
          </w:p>
        </w:tc>
      </w:tr>
    </w:tbl>
    <w:r>
      <w:br w:type="page"/>
    </w:r>
    <w:p>
      <w:pPr>
        <w:pStyle w:val="Heading1"/>
        <w:spacing w:after="150" w:before="300"/>
      </w:pPr>
      <w:r>
        <w:t xml:space="preserve">NEW FIELDS (F-200 TO F-209): TRACEABILITY &amp; CONFIDENCE</w:t>
      </w:r>
    </w:p>
    <w:p>
      <w:pPr>
        <w:spacing w:after="100"/>
      </w:pPr>
      <w:r>
        <w:t xml:space="preserve">10 new fields added for complete field extraction traceability and confidence tracking: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t xml:space="preserve">Field</w:t>
            </w:r>
          </w:p>
        </w:tc>
        <w:tc>
          <w:tcPr>
            <w:vAlign w:val="center"/>
          </w:tcPr>
          <w:p>
            <w:r>
              <w:t xml:space="preserve">Name</w:t>
            </w:r>
          </w:p>
        </w:tc>
        <w:tc>
          <w:tcPr>
            <w:vAlign w:val="center"/>
          </w:tcPr>
          <w:p>
            <w:r>
              <w:t xml:space="preserve">Type</w:t>
            </w:r>
          </w:p>
        </w:tc>
        <w:tc>
          <w:tcPr>
            <w:vAlign w:val="center"/>
          </w:tcPr>
          <w:p>
            <w:r>
              <w:t xml:space="preserve">Purpose</w:t>
            </w:r>
          </w:p>
        </w:tc>
      </w:tr>
      <w:tr>
        <w:tc>
          <w:tcPr>
            <w:vAlign w:val="center"/>
          </w:tcPr>
          <w:p>
            <w:r>
              <w:t xml:space="preserve">F-200</w:t>
            </w:r>
          </w:p>
        </w:tc>
        <w:tc>
          <w:tcPr>
            <w:vAlign w:val="center"/>
          </w:tcPr>
          <w:p>
            <w:r>
              <w:t xml:space="preserve">extraction_confidence_score</w:t>
            </w:r>
          </w:p>
        </w:tc>
        <w:tc>
          <w:tcPr>
            <w:vAlign w:val="center"/>
          </w:tcPr>
          <w:p>
            <w:r>
              <w:t xml:space="preserve">0.0-1.0</w:t>
            </w:r>
          </w:p>
        </w:tc>
        <w:tc>
          <w:tcPr>
            <w:vAlign w:val="center"/>
          </w:tcPr>
          <w:p>
            <w:r>
              <w:t xml:space="preserve">Confidence of extracted value</w:t>
            </w:r>
          </w:p>
        </w:tc>
      </w:tr>
      <w:tr>
        <w:tc>
          <w:tcPr>
            <w:vAlign w:val="center"/>
          </w:tcPr>
          <w:p>
            <w:r>
              <w:t xml:space="preserve">F-201</w:t>
            </w:r>
          </w:p>
        </w:tc>
        <w:tc>
          <w:tcPr>
            <w:vAlign w:val="center"/>
          </w:tcPr>
          <w:p>
            <w:r>
              <w:t xml:space="preserve">extraction_fallback_chain</w:t>
            </w:r>
          </w:p>
        </w:tc>
        <w:tc>
          <w:tcPr>
            <w:vAlign w:val="center"/>
          </w:tcPr>
          <w:p>
            <w:r>
              <w:t xml:space="preserve">String</w:t>
            </w:r>
          </w:p>
        </w:tc>
        <w:tc>
          <w:tcPr>
            <w:vAlign w:val="center"/>
          </w:tcPr>
          <w:p>
            <w:r>
              <w:t xml:space="preserve">Sources tried (e.g., DWG→STAAD→PDF)</w:t>
            </w:r>
          </w:p>
        </w:tc>
      </w:tr>
      <w:tr>
        <w:tc>
          <w:tcPr>
            <w:vAlign w:val="center"/>
          </w:tcPr>
          <w:p>
            <w:r>
              <w:t xml:space="preserve">F-202</w:t>
            </w:r>
          </w:p>
        </w:tc>
        <w:tc>
          <w:tcPr>
            <w:vAlign w:val="center"/>
          </w:tcPr>
          <w:p>
            <w:r>
              <w:t xml:space="preserve">extraction_method</w:t>
            </w:r>
          </w:p>
        </w:tc>
        <w:tc>
          <w:tcPr>
            <w:vAlign w:val="center"/>
          </w:tcPr>
          <w:p>
            <w:r>
              <w:t xml:space="preserve">Enum</w:t>
            </w:r>
          </w:p>
        </w:tc>
        <w:tc>
          <w:tcPr>
            <w:vAlign w:val="center"/>
          </w:tcPr>
          <w:p>
            <w:r>
              <w:t xml:space="preserve">Parser used (DWG|STAAD|PDF|Template)</w:t>
            </w:r>
          </w:p>
        </w:tc>
      </w:tr>
      <w:tr>
        <w:tc>
          <w:tcPr>
            <w:vAlign w:val="center"/>
          </w:tcPr>
          <w:p>
            <w:r>
              <w:t xml:space="preserve">F-203</w:t>
            </w:r>
          </w:p>
        </w:tc>
        <w:tc>
          <w:tcPr>
            <w:vAlign w:val="center"/>
          </w:tcPr>
          <w:p>
            <w:r>
              <w:t xml:space="preserve">source_design_file_reference</w:t>
            </w:r>
          </w:p>
        </w:tc>
        <w:tc>
          <w:tcPr>
            <w:vAlign w:val="center"/>
          </w:tcPr>
          <w:p>
            <w:r>
              <w:t xml:space="preserve">String</w:t>
            </w:r>
          </w:p>
        </w:tc>
        <w:tc>
          <w:tcPr>
            <w:vAlign w:val="center"/>
          </w:tcPr>
          <w:p>
            <w:r>
              <w:t xml:space="preserve">Exact location in source file</w:t>
            </w:r>
          </w:p>
        </w:tc>
      </w:tr>
      <w:tr>
        <w:tc>
          <w:tcPr>
            <w:vAlign w:val="center"/>
          </w:tcPr>
          <w:p>
            <w:r>
              <w:t xml:space="preserve">F-204</w:t>
            </w:r>
          </w:p>
        </w:tc>
        <w:tc>
          <w:tcPr>
            <w:vAlign w:val="center"/>
          </w:tcPr>
          <w:p>
            <w:r>
              <w:t xml:space="preserve">extraction_timestamp</w:t>
            </w:r>
          </w:p>
        </w:tc>
        <w:tc>
          <w:tcPr>
            <w:vAlign w:val="center"/>
          </w:tcPr>
          <w:p>
            <w:r>
              <w:t xml:space="preserve">DateTime</w:t>
            </w:r>
          </w:p>
        </w:tc>
        <w:tc>
          <w:tcPr>
            <w:vAlign w:val="center"/>
          </w:tcPr>
          <w:p>
            <w:r>
              <w:t xml:space="preserve">When field was extracted</w:t>
            </w:r>
          </w:p>
        </w:tc>
      </w:tr>
      <w:tr>
        <w:tc>
          <w:tcPr>
            <w:vAlign w:val="center"/>
          </w:tcPr>
          <w:p>
            <w:r>
              <w:t xml:space="preserve">F-205</w:t>
            </w:r>
          </w:p>
        </w:tc>
        <w:tc>
          <w:tcPr>
            <w:vAlign w:val="center"/>
          </w:tcPr>
          <w:p>
            <w:r>
              <w:t xml:space="preserve">conflict_flag</w:t>
            </w:r>
          </w:p>
        </w:tc>
        <w:tc>
          <w:tcPr>
            <w:vAlign w:val="center"/>
          </w:tcPr>
          <w:p>
            <w:r>
              <w:t xml:space="preserve">Boolean</w:t>
            </w:r>
          </w:p>
        </w:tc>
        <w:tc>
          <w:tcPr>
            <w:vAlign w:val="center"/>
          </w:tcPr>
          <w:p>
            <w:r>
              <w:t xml:space="preserve">True if sources conflicted</w:t>
            </w:r>
          </w:p>
        </w:tc>
      </w:tr>
      <w:tr>
        <w:tc>
          <w:tcPr>
            <w:vAlign w:val="center"/>
          </w:tcPr>
          <w:p>
            <w:r>
              <w:t xml:space="preserve">F-206</w:t>
            </w:r>
          </w:p>
        </w:tc>
        <w:tc>
          <w:tcPr>
            <w:vAlign w:val="center"/>
          </w:tcPr>
          <w:p>
            <w:r>
              <w:t xml:space="preserve">conflict_details_json</w:t>
            </w:r>
          </w:p>
        </w:tc>
        <w:tc>
          <w:tcPr>
            <w:vAlign w:val="center"/>
          </w:tcPr>
          <w:p>
            <w:r>
              <w:t xml:space="preserve">JSON</w:t>
            </w:r>
          </w:p>
        </w:tc>
        <w:tc>
          <w:tcPr>
            <w:vAlign w:val="center"/>
          </w:tcPr>
          <w:p>
            <w:r>
              <w:t xml:space="preserve">Conflicting values + resolution</w:t>
            </w:r>
          </w:p>
        </w:tc>
      </w:tr>
      <w:tr>
        <w:tc>
          <w:tcPr>
            <w:vAlign w:val="center"/>
          </w:tcPr>
          <w:p>
            <w:r>
              <w:t xml:space="preserve">F-207</w:t>
            </w:r>
          </w:p>
        </w:tc>
        <w:tc>
          <w:tcPr>
            <w:vAlign w:val="center"/>
          </w:tcPr>
          <w:p>
            <w:r>
              <w:t xml:space="preserve">approval_status</w:t>
            </w:r>
          </w:p>
        </w:tc>
        <w:tc>
          <w:tcPr>
            <w:vAlign w:val="center"/>
          </w:tcPr>
          <w:p>
            <w:r>
              <w:t xml:space="preserve">Enum</w:t>
            </w:r>
          </w:p>
        </w:tc>
        <w:tc>
          <w:tcPr>
            <w:vAlign w:val="center"/>
          </w:tcPr>
          <w:p>
            <w:r>
              <w:t xml:space="preserve">auto_approved|pending|engineer_approved</w:t>
            </w:r>
          </w:p>
        </w:tc>
      </w:tr>
      <w:tr>
        <w:tc>
          <w:tcPr>
            <w:vAlign w:val="center"/>
          </w:tcPr>
          <w:p>
            <w:r>
              <w:t xml:space="preserve">F-208</w:t>
            </w:r>
          </w:p>
        </w:tc>
        <w:tc>
          <w:tcPr>
            <w:vAlign w:val="center"/>
          </w:tcPr>
          <w:p>
            <w:r>
              <w:t xml:space="preserve">approved_by_user</w:t>
            </w:r>
          </w:p>
        </w:tc>
        <w:tc>
          <w:tcPr>
            <w:vAlign w:val="center"/>
          </w:tcPr>
          <w:p>
            <w:r>
              <w:t xml:space="preserve">String</w:t>
            </w:r>
          </w:p>
        </w:tc>
        <w:tc>
          <w:tcPr>
            <w:vAlign w:val="center"/>
          </w:tcPr>
          <w:p>
            <w:r>
              <w:t xml:space="preserve">User ID of approver</w:t>
            </w:r>
          </w:p>
        </w:tc>
      </w:tr>
      <w:tr>
        <w:tc>
          <w:tcPr>
            <w:vAlign w:val="center"/>
          </w:tcPr>
          <w:p>
            <w:r>
              <w:t xml:space="preserve">F-209</w:t>
            </w:r>
          </w:p>
        </w:tc>
        <w:tc>
          <w:tcPr>
            <w:vAlign w:val="center"/>
          </w:tcPr>
          <w:p>
            <w:r>
              <w:t xml:space="preserve">job_archive_source</w:t>
            </w:r>
          </w:p>
        </w:tc>
        <w:tc>
          <w:tcPr>
            <w:vAlign w:val="center"/>
          </w:tcPr>
          <w:p>
            <w:r>
              <w:t xml:space="preserve">String</w:t>
            </w:r>
          </w:p>
        </w:tc>
        <w:tc>
          <w:tcPr>
            <w:vAlign w:val="center"/>
          </w:tcPr>
          <w:p>
            <w:r>
              <w:t xml:space="preserve">RAR/ZIP archive reference (if applicable)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Every field in the system now has complete traceability: where it came from, how confident we are, whether it conflicts with other sources, and who approved it.</w:t>
      </w:r>
    </w:p>
    <w:r>
      <w:br w:type="page"/>
    </w:r>
    <w:p>
      <w:pPr>
        <w:pStyle w:val="Heading1"/>
        <w:spacing w:after="150" w:before="300"/>
      </w:pPr>
      <w:r>
        <w:t xml:space="preserve">NEW VALIDATION RULES (25 TOTAL)</w:t>
      </w:r>
    </w:p>
    <w:p>
      <w:pPr>
        <w:spacing w:after="100"/>
      </w:pPr>
      <w:r>
        <w:t xml:space="preserve">25 new rules added across 8 categories, replacing or improving upon v2 rules: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Archive Handling Rules (VR-ARCHIVE-01 to 03)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VR-ARCHIVE-01: Archive file must be readable, extract without errors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VR-ARCHIVE-02: Warn if &gt;15 files, escalate if &gt;25 files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VR-ARCHIVE-03: Apply precedence scoring (M-46) to select best DWG/DXF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Parsing Rules (VR-PARSE-01 to 05)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VR-PARSE-01: Entity types match expected layer/block rules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VR-PARSE-02: Grid line detection matches bay 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VR-PARSE-03: Member mark extraction with format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VR-PARSE-04: PDF content extraction (secondary source only)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VR-PARSE-05: STAAD section lookup against section database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Confidence Rules (VR-CONF-01 to 03)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VR-CONF-01: Confidence &lt; 0.6 requires engineer review; &lt; 0.4 blocks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VR-CONF-02: Low-confidence fields auto-escalate to approval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VR-CONF-03: Source weight calculation (DWG=1.0, STAAD=0.95, PDF=0.70, Template=0.50)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Conflict Rules (VR-CONFLICT-01 to 02)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VR-CONFLICT-01: Detect when sources provide different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VR-CONFLICT-02: Auto-resolve with quorum logic or escalate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Fallback Rule (VR-FALLBACK-01)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VR-FALLBACK-01: No guessing - if all sources exhausted, escalate to engineer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DXF Output Audit Rules (VR-DXF-01 to 05)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VR-DXF-01: Grid line count = (bay_count + 1)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VR-DXF-02: Grid spacing ≤ 2mm variance from database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VR-DXF-03: Member marks ⊇ database list (set superset)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VR-DXF-04: Dimension values ≤ tolerance match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VR-DXF-05: No orphan entities (all blocks traceable)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Authentication Rules (VR-AUTH-01 to 02)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VR-AUTH-01: Machine fingerprint (HWID + CPU) must be in approved registry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VR-AUTH-02: User role controls access (View|Generate|Override|Release|Admin)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Output Validation Rules (VR-OUTPUT-01 to 03)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VR-OUTPUT-01: DXF generation must complete without ezdxf errors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VR-OUTPUT-02: ZwCAD CLI conversion must succeed (exit code 0, DWG exists)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VR-OUTPUT-03: LibreOffice PDF must complete (exit code 0, PDF readable)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Traceability &amp; Audit Rules (VR-TRACE-01, VR-AUDIT-01)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VR-TRACE-01: Every extracted field must have SQLite traceability entry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VR-AUDIT-01: Audit log is append-only; every action logged with timestamp/user</w:t>
      </w:r>
    </w:p>
    <w:r>
      <w:br w:type="page"/>
    </w:r>
    <w:p>
      <w:pPr>
        <w:pStyle w:val="Heading1"/>
        <w:spacing w:after="150" w:before="300"/>
      </w:pPr>
      <w:r>
        <w:t xml:space="preserve">GOVERNANCE DECISIONS RESOLVED</w:t>
      </w:r>
    </w:p>
    <w:p>
      <w:pPr>
        <w:spacing w:after="100"/>
      </w:pPr>
      <w:r>
        <w:t xml:space="preserve">v2.1 resolves all outstanding governance decisions through local-only design: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DECISION #1: Approval Workflow Architecture</w:t>
      </w:r>
    </w:p>
    <w:p>
      <w:pPr>
        <w:spacing w:after="100"/>
      </w:pPr>
      <w:r>
        <w:t xml:space="preserve">v2 Question: External API (Blocker #4) or local-based?</w:t>
      </w:r>
    </w:p>
    <w:p>
      <w:pPr>
        <w:spacing w:after="100"/>
      </w:pPr>
      <w:r>
        <w:t xml:space="preserve">v2.1 Answer: Local-only RBAC (M-56) via SQLite, no external API calls.</w:t>
      </w:r>
    </w:p>
    <w:p>
      <w:pPr>
        <w:spacing w:after="100"/>
      </w:pPr>
      <w:r>
        <w:t xml:space="preserve">Implementation: Windows HWID validation → SQLite role table → action permissions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DECISION #2: Database for Traceability at 1GB Scale</w:t>
      </w:r>
    </w:p>
    <w:p>
      <w:pPr>
        <w:spacing w:after="100"/>
      </w:pPr>
      <w:r>
        <w:t xml:space="preserve">v2 Question: JSON, SQLite, or PostgreSQL?</w:t>
      </w:r>
    </w:p>
    <w:p>
      <w:pPr>
        <w:spacing w:after="100"/>
      </w:pPr>
      <w:r>
        <w:t xml:space="preserve">v2.1 Answer: SQLite for production + JSON for human exports (hybrid).</w:t>
      </w:r>
    </w:p>
    <w:p>
      <w:pPr>
        <w:spacing w:after="100"/>
      </w:pPr>
      <w:r>
        <w:t xml:space="preserve">Implementation: M-53/M-54 SQLite schema, export functions to JSON on demand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DECISION #3: DWG Generation Without External Calls</w:t>
      </w:r>
    </w:p>
    <w:p>
      <w:pPr>
        <w:spacing w:after="100"/>
      </w:pPr>
      <w:r>
        <w:t xml:space="preserve">v2 Question: Teigha SDK, COM API, or alternative?</w:t>
      </w:r>
    </w:p>
    <w:p>
      <w:pPr>
        <w:spacing w:after="100"/>
      </w:pPr>
      <w:r>
        <w:t xml:space="preserve">v2.1 Answer: ezdxf (local) → ZwCAD CLI (local, already licensed) → LibreOffice (free).</w:t>
      </w:r>
    </w:p>
    <w:p>
      <w:pPr>
        <w:spacing w:after="100"/>
      </w:pPr>
      <w:r>
        <w:t xml:space="preserve">Implementation: M-57 (ezdxf DXF gen), M-58 (ZwCAD subprocess wrapper), M-59 (LibreOffice headless)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DECISION #4: Multi-File Archive Selection (3-25 files)</w:t>
      </w:r>
    </w:p>
    <w:p>
      <w:pPr>
        <w:spacing w:after="100"/>
      </w:pPr>
      <w:r>
        <w:t xml:space="preserve">v2 Question: How to select best file from archive?</w:t>
      </w:r>
    </w:p>
    <w:p>
      <w:pPr>
        <w:spacing w:after="100"/>
      </w:pPr>
      <w:r>
        <w:t xml:space="preserve">v2.1 Answer: Precedence scoring algorithm (M-46) with 4 factors: file type + naming + recency + size.</w:t>
      </w:r>
    </w:p>
    <w:p>
      <w:pPr>
        <w:spacing w:after="100"/>
      </w:pPr>
      <w:r>
        <w:t xml:space="preserve">Implementation: Deterministic, handles edge cases, no user guessing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DECISION #5: Confidence Scoring Thresholds</w:t>
      </w:r>
    </w:p>
    <w:p>
      <w:pPr>
        <w:spacing w:after="100"/>
      </w:pPr>
      <w:r>
        <w:t xml:space="preserve">v2 Question: When should system escalate vs auto-approve?</w:t>
      </w:r>
    </w:p>
    <w:p>
      <w:pPr>
        <w:spacing w:after="100"/>
      </w:pPr>
      <w:r>
        <w:t xml:space="preserve">v2.1 Answer: Confidence &lt; 0.6 → engineer review; &lt; 0.4 → output blocked.</w:t>
      </w:r>
    </w:p>
    <w:p>
      <w:pPr>
        <w:spacing w:after="100"/>
      </w:pPr>
      <w:r>
        <w:t xml:space="preserve">Implementation: M-50 scoring rules + VR-CONF-01/02 enforcement at every stage</w:t>
      </w:r>
    </w:p>
    <w:r>
      <w:br w:type="page"/>
    </w:r>
    <w:p>
      <w:pPr>
        <w:pStyle w:val="Heading1"/>
        <w:spacing w:after="150" w:before="300"/>
      </w:pPr>
      <w:r>
        <w:t xml:space="preserve">IMPLEMENTATION READINESS</w:t>
      </w:r>
    </w:p>
    <w:p>
      <w:pPr>
        <w:spacing w:after="100"/>
      </w:pPr>
      <w:r>
        <w:t xml:space="preserve">v2.1 is production-ready for Phase 2 build with these prerequisites: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Technology Stack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t xml:space="preserve">Component</w:t>
            </w:r>
          </w:p>
        </w:tc>
        <w:tc>
          <w:tcPr>
            <w:vAlign w:val="center"/>
          </w:tcPr>
          <w:p>
            <w:r>
              <w:t xml:space="preserve">Technology</w:t>
            </w:r>
          </w:p>
        </w:tc>
        <w:tc>
          <w:tcPr>
            <w:vAlign w:val="center"/>
          </w:tcPr>
          <w:p>
            <w:r>
              <w:t xml:space="preserve">License</w:t>
            </w:r>
          </w:p>
        </w:tc>
        <w:tc>
          <w:tcPr>
            <w:vAlign w:val="center"/>
          </w:tcPr>
          <w:p>
            <w:r>
              <w:t xml:space="preserve">Status</w:t>
            </w:r>
          </w:p>
        </w:tc>
      </w:tr>
      <w:tr>
        <w:tc>
          <w:tcPr>
            <w:vAlign w:val="center"/>
          </w:tcPr>
          <w:p>
            <w:r>
              <w:t xml:space="preserve">Archive</w:t>
            </w:r>
          </w:p>
        </w:tc>
        <w:tc>
          <w:tcPr>
            <w:vAlign w:val="center"/>
          </w:tcPr>
          <w:p>
            <w:r>
              <w:t xml:space="preserve">Python zipfile + rarfile</w:t>
            </w:r>
          </w:p>
        </w:tc>
        <w:tc>
          <w:tcPr>
            <w:vAlign w:val="center"/>
          </w:tcPr>
          <w:p>
            <w:r>
              <w:t xml:space="preserve">Free/OSS</w:t>
            </w:r>
          </w:p>
        </w:tc>
        <w:tc>
          <w:tcPr>
            <w:vAlign w:val="center"/>
          </w:tcPr>
          <w:p>
            <w:r>
              <w:t xml:space="preserve">✓ Ready</w:t>
            </w:r>
          </w:p>
        </w:tc>
      </w:tr>
      <w:tr>
        <w:tc>
          <w:tcPr>
            <w:vAlign w:val="center"/>
          </w:tcPr>
          <w:p>
            <w:r>
              <w:t xml:space="preserve">DWG Parsing</w:t>
            </w:r>
          </w:p>
        </w:tc>
        <w:tc>
          <w:tcPr>
            <w:vAlign w:val="center"/>
          </w:tcPr>
          <w:p>
            <w:r>
              <w:t xml:space="preserve">ezdxf</w:t>
            </w:r>
          </w:p>
        </w:tc>
        <w:tc>
          <w:tcPr>
            <w:vAlign w:val="center"/>
          </w:tcPr>
          <w:p>
            <w:r>
              <w:t xml:space="preserve">MIT</w:t>
            </w:r>
          </w:p>
        </w:tc>
        <w:tc>
          <w:tcPr>
            <w:vAlign w:val="center"/>
          </w:tcPr>
          <w:p>
            <w:r>
              <w:t xml:space="preserve">✓ Ready</w:t>
            </w:r>
          </w:p>
        </w:tc>
      </w:tr>
      <w:tr>
        <w:tc>
          <w:tcPr>
            <w:vAlign w:val="center"/>
          </w:tcPr>
          <w:p>
            <w:r>
              <w:t xml:space="preserve">STAAD Parsing</w:t>
            </w:r>
          </w:p>
        </w:tc>
        <w:tc>
          <w:tcPr>
            <w:vAlign w:val="center"/>
          </w:tcPr>
          <w:p>
            <w:r>
              <w:t xml:space="preserve">Custom regex parser</w:t>
            </w:r>
          </w:p>
        </w:tc>
        <w:tc>
          <w:tcPr>
            <w:vAlign w:val="center"/>
          </w:tcPr>
          <w:p>
            <w:r>
              <w:t xml:space="preserve">Internal</w:t>
            </w:r>
          </w:p>
        </w:tc>
        <w:tc>
          <w:tcPr>
            <w:vAlign w:val="center"/>
          </w:tcPr>
          <w:p>
            <w:r>
              <w:t xml:space="preserve">✓ Ready</w:t>
            </w:r>
          </w:p>
        </w:tc>
      </w:tr>
      <w:tr>
        <w:tc>
          <w:tcPr>
            <w:vAlign w:val="center"/>
          </w:tcPr>
          <w:p>
            <w:r>
              <w:t xml:space="preserve">Confidence</w:t>
            </w:r>
          </w:p>
        </w:tc>
        <w:tc>
          <w:tcPr>
            <w:vAlign w:val="center"/>
          </w:tcPr>
          <w:p>
            <w:r>
              <w:t xml:space="preserve">Python dict + rules</w:t>
            </w:r>
          </w:p>
        </w:tc>
        <w:tc>
          <w:tcPr>
            <w:vAlign w:val="center"/>
          </w:tcPr>
          <w:p>
            <w:r>
              <w:t xml:space="preserve">Internal</w:t>
            </w:r>
          </w:p>
        </w:tc>
        <w:tc>
          <w:tcPr>
            <w:vAlign w:val="center"/>
          </w:tcPr>
          <w:p>
            <w:r>
              <w:t xml:space="preserve">✓ Ready</w:t>
            </w:r>
          </w:p>
        </w:tc>
      </w:tr>
      <w:tr>
        <w:tc>
          <w:tcPr>
            <w:vAlign w:val="center"/>
          </w:tcPr>
          <w:p>
            <w:r>
              <w:t xml:space="preserve">SQLite</w:t>
            </w:r>
          </w:p>
        </w:tc>
        <w:tc>
          <w:tcPr>
            <w:vAlign w:val="center"/>
          </w:tcPr>
          <w:p>
            <w:r>
              <w:t xml:space="preserve">sqlite3 (stdlib)</w:t>
            </w:r>
          </w:p>
        </w:tc>
        <w:tc>
          <w:tcPr>
            <w:vAlign w:val="center"/>
          </w:tcPr>
          <w:p>
            <w:r>
              <w:t xml:space="preserve">Public Domain</w:t>
            </w:r>
          </w:p>
        </w:tc>
        <w:tc>
          <w:tcPr>
            <w:vAlign w:val="center"/>
          </w:tcPr>
          <w:p>
            <w:r>
              <w:t xml:space="preserve">✓ Ready</w:t>
            </w:r>
          </w:p>
        </w:tc>
      </w:tr>
      <w:tr>
        <w:tc>
          <w:tcPr>
            <w:vAlign w:val="center"/>
          </w:tcPr>
          <w:p>
            <w:r>
              <w:t xml:space="preserve">DXF Gen</w:t>
            </w:r>
          </w:p>
        </w:tc>
        <w:tc>
          <w:tcPr>
            <w:vAlign w:val="center"/>
          </w:tcPr>
          <w:p>
            <w:r>
              <w:t xml:space="preserve">ezdxf</w:t>
            </w:r>
          </w:p>
        </w:tc>
        <w:tc>
          <w:tcPr>
            <w:vAlign w:val="center"/>
          </w:tcPr>
          <w:p>
            <w:r>
              <w:t xml:space="preserve">MIT</w:t>
            </w:r>
          </w:p>
        </w:tc>
        <w:tc>
          <w:tcPr>
            <w:vAlign w:val="center"/>
          </w:tcPr>
          <w:p>
            <w:r>
              <w:t xml:space="preserve">✓ Ready</w:t>
            </w:r>
          </w:p>
        </w:tc>
      </w:tr>
      <w:tr>
        <w:tc>
          <w:tcPr>
            <w:vAlign w:val="center"/>
          </w:tcPr>
          <w:p>
            <w:r>
              <w:t xml:space="preserve">DWG Conv</w:t>
            </w:r>
          </w:p>
        </w:tc>
        <w:tc>
          <w:tcPr>
            <w:vAlign w:val="center"/>
          </w:tcPr>
          <w:p>
            <w:r>
              <w:t xml:space="preserve">ZwCAD 2019 CLI</w:t>
            </w:r>
          </w:p>
        </w:tc>
        <w:tc>
          <w:tcPr>
            <w:vAlign w:val="center"/>
          </w:tcPr>
          <w:p>
            <w:r>
              <w:t xml:space="preserve">Licensed (user has)</w:t>
            </w:r>
          </w:p>
        </w:tc>
        <w:tc>
          <w:tcPr>
            <w:vAlign w:val="center"/>
          </w:tcPr>
          <w:p>
            <w:r>
              <w:t xml:space="preserve">✓ Ready</w:t>
            </w:r>
          </w:p>
        </w:tc>
      </w:tr>
      <w:tr>
        <w:tc>
          <w:tcPr>
            <w:vAlign w:val="center"/>
          </w:tcPr>
          <w:p>
            <w:r>
              <w:t xml:space="preserve">PDF Gen</w:t>
            </w:r>
          </w:p>
        </w:tc>
        <w:tc>
          <w:tcPr>
            <w:vAlign w:val="center"/>
          </w:tcPr>
          <w:p>
            <w:r>
              <w:t xml:space="preserve">LibreOffice headless</w:t>
            </w:r>
          </w:p>
        </w:tc>
        <w:tc>
          <w:tcPr>
            <w:vAlign w:val="center"/>
          </w:tcPr>
          <w:p>
            <w:r>
              <w:t xml:space="preserve">Apache 2.0</w:t>
            </w:r>
          </w:p>
        </w:tc>
        <w:tc>
          <w:tcPr>
            <w:vAlign w:val="center"/>
          </w:tcPr>
          <w:p>
            <w:r>
              <w:t xml:space="preserve">✓ Ready</w:t>
            </w:r>
          </w:p>
        </w:tc>
      </w:tr>
      <w:tr>
        <w:tc>
          <w:tcPr>
            <w:vAlign w:val="center"/>
          </w:tcPr>
          <w:p>
            <w:r>
              <w:t xml:space="preserve">Auth</w:t>
            </w:r>
          </w:p>
        </w:tc>
        <w:tc>
          <w:tcPr>
            <w:vAlign w:val="center"/>
          </w:tcPr>
          <w:p>
            <w:r>
              <w:t xml:space="preserve">Windows API (winreg)</w:t>
            </w:r>
          </w:p>
        </w:tc>
        <w:tc>
          <w:tcPr>
            <w:vAlign w:val="center"/>
          </w:tcPr>
          <w:p>
            <w:r>
              <w:t xml:space="preserve">Native OS</w:t>
            </w:r>
          </w:p>
        </w:tc>
        <w:tc>
          <w:tcPr>
            <w:vAlign w:val="center"/>
          </w:tcPr>
          <w:p>
            <w:r>
              <w:t xml:space="preserve">✓ Ready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All technologies are available, licensed, and tested. No blockers.</w:t>
      </w:r>
    </w:p>
    <w:r>
      <w:br w:type="page"/>
    </w:r>
    <w:p>
      <w:pPr>
        <w:pStyle w:val="Heading1"/>
        <w:spacing w:after="150" w:before="300"/>
      </w:pPr>
      <w:r>
        <w:t xml:space="preserve">SUMMARY</w:t>
      </w:r>
    </w:p>
    <w:p>
      <w:pPr>
        <w:spacing w:after="100"/>
      </w:pPr>
      <w:r>
        <w:t xml:space="preserve">MasterDB v2.1 transforms the system from API-dependent to fully local-only operation while adding 51 new components (16 modules + 10 fields + 25 rules).</w:t>
      </w:r>
    </w:p>
    <w:p>
      <w:pPr>
        <w:spacing w:after="100"/>
      </w:pPr>
    </w:p>
    <w:p>
      <w:pPr>
        <w:spacing w:after="100"/>
      </w:pPr>
      <w:r>
        <w:t xml:space="preserve">Key achievements: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6 architecture blockers fully resolved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90% accuracy achievable through confidence scoring + conflict resolution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Offline operation with no external dependencies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Complete traceability (source → field → output) via SQLite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Local hardware-based approval (HWID + RBAC)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DXF → DWG → PDF output pipeline (all local tools)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Production-ready for Phase 2 implementation</w:t>
      </w:r>
    </w:p>
    <w:p>
      <w:pPr>
        <w:spacing w:after="100"/>
      </w:pPr>
    </w:p>
    <w:p>
      <w:pPr>
        <w:spacing w:after="100"/>
      </w:pPr>
      <w:r>
        <w:t xml:space="preserve">Next steps: Load MasterDB_version_2.1.xlsx into Phase 2 build pipeline. All modules, fields, and rules are documented and ready for development.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2026-04-21T06:00:44.128Z</dcterms:created>
  <dcterms:modified xsi:type="dcterms:W3CDTF">2026-04-21T06:00:44.129Z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