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CDF5" w14:textId="77777777" w:rsidR="000A2345" w:rsidRDefault="00000000" w:rsidP="000A2345">
      <w:pPr>
        <w:spacing w:after="0" w:line="248" w:lineRule="auto"/>
        <w:ind w:left="0" w:firstLine="0"/>
        <w:rPr>
          <w:b/>
          <w:sz w:val="36"/>
          <w:szCs w:val="36"/>
        </w:rPr>
      </w:pPr>
      <w:r w:rsidRPr="000A2345">
        <w:rPr>
          <w:b/>
          <w:sz w:val="36"/>
          <w:szCs w:val="36"/>
        </w:rPr>
        <w:t>Case Study: Financial Performance Analysis Report</w:t>
      </w:r>
      <w:r w:rsidR="000A2345">
        <w:rPr>
          <w:b/>
          <w:sz w:val="36"/>
          <w:szCs w:val="36"/>
        </w:rPr>
        <w:t xml:space="preserve"> </w:t>
      </w:r>
    </w:p>
    <w:p w14:paraId="5B9CDAA5" w14:textId="77777777" w:rsidR="000A2345" w:rsidRDefault="000A2345" w:rsidP="000A2345">
      <w:pPr>
        <w:spacing w:after="0" w:line="248" w:lineRule="auto"/>
        <w:ind w:left="0" w:firstLine="0"/>
        <w:rPr>
          <w:b/>
          <w:sz w:val="36"/>
          <w:szCs w:val="36"/>
        </w:rPr>
      </w:pPr>
    </w:p>
    <w:p w14:paraId="6D8B5204" w14:textId="77777777" w:rsidR="000A2345" w:rsidRDefault="00000000" w:rsidP="00FA4E90">
      <w:pPr>
        <w:pStyle w:val="ListParagraph"/>
        <w:numPr>
          <w:ilvl w:val="0"/>
          <w:numId w:val="8"/>
        </w:numPr>
        <w:spacing w:after="0" w:line="248" w:lineRule="auto"/>
      </w:pPr>
      <w:r w:rsidRPr="00FA4E90">
        <w:rPr>
          <w:rFonts w:cs="Arial"/>
          <w:b/>
        </w:rPr>
        <w:t>Objective:</w:t>
      </w:r>
      <w:r>
        <w:t xml:space="preserve"> The purpose of this report is to provide a concise summary of the company's monthly financial performance and key KPIs, enabling management to quickly identify growth opportunities and operational risks.</w:t>
      </w:r>
    </w:p>
    <w:p w14:paraId="0AD7E054" w14:textId="77777777" w:rsidR="00FA4E90" w:rsidRDefault="00FA4E90" w:rsidP="000A2345">
      <w:pPr>
        <w:spacing w:after="0" w:line="248" w:lineRule="auto"/>
        <w:ind w:left="0" w:firstLine="0"/>
      </w:pPr>
    </w:p>
    <w:p w14:paraId="2FE9AB55" w14:textId="77777777" w:rsidR="00E71D67" w:rsidRDefault="00E71D67" w:rsidP="00E71D67">
      <w:pPr>
        <w:pStyle w:val="Heading1"/>
        <w:numPr>
          <w:ilvl w:val="0"/>
          <w:numId w:val="7"/>
        </w:numPr>
      </w:pPr>
      <w:r>
        <w:t xml:space="preserve">Data Logic and DAX Formulas </w:t>
      </w:r>
    </w:p>
    <w:p w14:paraId="325EA78F" w14:textId="77777777" w:rsidR="00E71D67" w:rsidRDefault="00E71D67" w:rsidP="00E71D67">
      <w:pPr>
        <w:ind w:left="0" w:firstLine="0"/>
      </w:pPr>
      <w:r>
        <w:t xml:space="preserve">To ensure reporting accuracy and scalability, the following advanced DAX measures were implemented: </w:t>
      </w:r>
    </w:p>
    <w:p w14:paraId="744EDDF5" w14:textId="77777777" w:rsidR="00E71D67" w:rsidRDefault="00E71D67" w:rsidP="00E71D67">
      <w:pPr>
        <w:numPr>
          <w:ilvl w:val="0"/>
          <w:numId w:val="1"/>
        </w:numPr>
        <w:ind w:hanging="360"/>
      </w:pPr>
      <w:r>
        <w:rPr>
          <w:b/>
        </w:rPr>
        <w:t>Gross Margin %:</w:t>
      </w:r>
      <w:r>
        <w:t xml:space="preserve"> D</w:t>
      </w:r>
      <w:r w:rsidRPr="000A2345">
        <w:t>ivide(sum(Data[Gross Profit]),sum(Data[Revenue]),0)</w:t>
      </w:r>
      <w:r>
        <w:t xml:space="preserve"> - Measures core production efficiency. </w:t>
      </w:r>
    </w:p>
    <w:p w14:paraId="10A5E503" w14:textId="77777777" w:rsidR="00E71D67" w:rsidRDefault="00E71D67" w:rsidP="00E71D67">
      <w:pPr>
        <w:numPr>
          <w:ilvl w:val="0"/>
          <w:numId w:val="1"/>
        </w:numPr>
        <w:ind w:hanging="360"/>
      </w:pPr>
      <w:r>
        <w:rPr>
          <w:b/>
        </w:rPr>
        <w:t>Revenue Variance %:</w:t>
      </w:r>
      <w:r>
        <w:t xml:space="preserve"> </w:t>
      </w:r>
      <w:r w:rsidRPr="000A2345">
        <w:t>DIVIDE(sum(data[Revenue])-sum(Data[Revenue Budget]),sum(Data[Revenue Budget]),0)</w:t>
      </w:r>
      <w:r>
        <w:t xml:space="preserve"> - Highlights the percentage deviation from set financial targets. </w:t>
      </w:r>
    </w:p>
    <w:p w14:paraId="474F51DF" w14:textId="77777777" w:rsidR="00E71D67" w:rsidRDefault="00E71D67" w:rsidP="00E71D67">
      <w:pPr>
        <w:numPr>
          <w:ilvl w:val="0"/>
          <w:numId w:val="1"/>
        </w:numPr>
        <w:ind w:hanging="360"/>
      </w:pPr>
      <w:r w:rsidRPr="000A2345">
        <w:rPr>
          <w:b/>
          <w:bCs/>
        </w:rPr>
        <w:t>EBITDA%</w:t>
      </w:r>
      <w:r w:rsidRPr="000A2345">
        <w:t xml:space="preserve"> = </w:t>
      </w:r>
      <w:r>
        <w:t>D</w:t>
      </w:r>
      <w:r w:rsidRPr="000A2345">
        <w:t>ivide(sum(Data[EBITDA]),sum(Data[Revenue]))</w:t>
      </w:r>
    </w:p>
    <w:p w14:paraId="6D93DA62" w14:textId="2EFF8023" w:rsidR="00FA4E90" w:rsidRDefault="00FA4E90" w:rsidP="00FA4E90">
      <w:pPr>
        <w:pStyle w:val="ListParagraph"/>
        <w:numPr>
          <w:ilvl w:val="0"/>
          <w:numId w:val="1"/>
        </w:numPr>
        <w:spacing w:after="282"/>
      </w:pPr>
      <w:r w:rsidRPr="00FA4E90">
        <w:rPr>
          <w:rFonts w:cs="Arial"/>
          <w:b/>
        </w:rPr>
        <w:t>Net Cash Flow:</w:t>
      </w:r>
      <w:r>
        <w:t xml:space="preserve"> S</w:t>
      </w:r>
      <w:r w:rsidRPr="000A2345">
        <w:t>um(Data[Cash Inflows])-sum(Data[Cash Outflows])</w:t>
      </w:r>
      <w:r>
        <w:t xml:space="preserve"> - Tracks actual liquidity available at the end of each period</w:t>
      </w:r>
    </w:p>
    <w:p w14:paraId="3070E84E" w14:textId="33DBAF25" w:rsidR="00FA4E90" w:rsidRPr="00FA4E90" w:rsidRDefault="00FA4E90" w:rsidP="00FA4E90">
      <w:pPr>
        <w:pStyle w:val="Heading1"/>
        <w:numPr>
          <w:ilvl w:val="0"/>
          <w:numId w:val="9"/>
        </w:numPr>
      </w:pPr>
      <w:r>
        <w:t>Key Business Insights</w:t>
      </w:r>
    </w:p>
    <w:tbl>
      <w:tblPr>
        <w:tblStyle w:val="TableGrid"/>
        <w:tblpPr w:leftFromText="180" w:rightFromText="180" w:vertAnchor="text" w:horzAnchor="margin" w:tblpY="590"/>
        <w:tblW w:w="9196" w:type="dxa"/>
        <w:tblInd w:w="0" w:type="dxa"/>
        <w:tblCellMar>
          <w:top w:w="206" w:type="dxa"/>
          <w:left w:w="140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3959"/>
        <w:gridCol w:w="5237"/>
      </w:tblGrid>
      <w:tr w:rsidR="00E71D67" w14:paraId="0BFC0355" w14:textId="77777777" w:rsidTr="00FA4E90">
        <w:trPr>
          <w:trHeight w:val="800"/>
        </w:trPr>
        <w:tc>
          <w:tcPr>
            <w:tcW w:w="39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2A1C3C4" w14:textId="765E556C" w:rsidR="00E71D67" w:rsidRDefault="00E71D67" w:rsidP="00E71D67">
            <w:pPr>
              <w:spacing w:after="0" w:line="259" w:lineRule="auto"/>
              <w:ind w:left="0" w:firstLine="0"/>
            </w:pPr>
            <w:r>
              <w:t>Metric Category</w:t>
            </w:r>
          </w:p>
        </w:tc>
        <w:tc>
          <w:tcPr>
            <w:tcW w:w="523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22E02519" w14:textId="77777777" w:rsidR="00E71D67" w:rsidRDefault="00E71D67" w:rsidP="00E71D67">
            <w:pPr>
              <w:spacing w:after="0" w:line="259" w:lineRule="auto"/>
              <w:ind w:left="0" w:firstLine="0"/>
            </w:pPr>
            <w:r>
              <w:t xml:space="preserve">Observation &amp; Analysis </w:t>
            </w:r>
          </w:p>
        </w:tc>
      </w:tr>
      <w:tr w:rsidR="00E71D67" w14:paraId="5D4C53E6" w14:textId="77777777" w:rsidTr="00FA4E90">
        <w:trPr>
          <w:trHeight w:val="1584"/>
        </w:trPr>
        <w:tc>
          <w:tcPr>
            <w:tcW w:w="39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E187FC9" w14:textId="77777777" w:rsidR="00E71D67" w:rsidRDefault="00E71D67" w:rsidP="00E71D67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Budget Compliance </w:t>
            </w:r>
          </w:p>
        </w:tc>
        <w:tc>
          <w:tcPr>
            <w:tcW w:w="523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CEB2CCA" w14:textId="77777777" w:rsidR="00E71D67" w:rsidRDefault="00E71D67" w:rsidP="00E71D67">
            <w:pPr>
              <w:spacing w:after="0"/>
              <w:ind w:left="0" w:firstLine="0"/>
            </w:pPr>
            <w:r>
              <w:t xml:space="preserve">Revenue targets were missed across all regions. The </w:t>
            </w:r>
            <w:r>
              <w:rPr>
                <w:b/>
              </w:rPr>
              <w:t>South Region</w:t>
            </w:r>
            <w:r>
              <w:t xml:space="preserve"> exhibits the highest negative variance (-27%), while the </w:t>
            </w:r>
          </w:p>
          <w:p w14:paraId="15223B5E" w14:textId="77777777" w:rsidR="00E71D67" w:rsidRDefault="00E71D67" w:rsidP="00E71D67">
            <w:pPr>
              <w:spacing w:after="0" w:line="259" w:lineRule="auto"/>
              <w:ind w:left="0" w:firstLine="0"/>
            </w:pPr>
            <w:r>
              <w:rPr>
                <w:b/>
              </w:rPr>
              <w:t>North Region</w:t>
            </w:r>
            <w:r>
              <w:t xml:space="preserve"> is closest to the budget (-20%). </w:t>
            </w:r>
          </w:p>
        </w:tc>
      </w:tr>
      <w:tr w:rsidR="00E71D67" w14:paraId="11496089" w14:textId="77777777" w:rsidTr="00FA4E90">
        <w:trPr>
          <w:trHeight w:val="913"/>
        </w:trPr>
        <w:tc>
          <w:tcPr>
            <w:tcW w:w="39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43B74B9" w14:textId="77777777" w:rsidR="00E71D67" w:rsidRDefault="00E71D67" w:rsidP="00E71D67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Profitability </w:t>
            </w:r>
          </w:p>
        </w:tc>
        <w:tc>
          <w:tcPr>
            <w:tcW w:w="523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14:paraId="07F9B2B4" w14:textId="77777777" w:rsidR="00E71D67" w:rsidRDefault="00E71D67" w:rsidP="00E71D67">
            <w:pPr>
              <w:spacing w:after="0" w:line="259" w:lineRule="auto"/>
              <w:ind w:left="0" w:firstLine="0"/>
            </w:pPr>
            <w:r>
              <w:t>A Gross Margin of 45.55% and an EBITDA% of 25% indicate healthy operational margins, suggesting that the issue lies in sales volume rather than cost control.</w:t>
            </w:r>
          </w:p>
        </w:tc>
      </w:tr>
      <w:tr w:rsidR="00E71D67" w14:paraId="22E7C818" w14:textId="77777777" w:rsidTr="00FA4E90">
        <w:trPr>
          <w:trHeight w:val="1163"/>
        </w:trPr>
        <w:tc>
          <w:tcPr>
            <w:tcW w:w="39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0923A3" w14:textId="2522A108" w:rsidR="00E71D67" w:rsidRDefault="00E71D67" w:rsidP="00E71D67">
            <w:pPr>
              <w:spacing w:after="0" w:line="259" w:lineRule="auto"/>
              <w:ind w:left="3" w:firstLine="0"/>
            </w:pPr>
            <w:r>
              <w:rPr>
                <w:b/>
              </w:rPr>
              <w:lastRenderedPageBreak/>
              <w:t>Liquid</w:t>
            </w:r>
            <w:r>
              <w:rPr>
                <w:b/>
              </w:rPr>
              <w:t>it</w:t>
            </w:r>
            <w:r>
              <w:rPr>
                <w:b/>
              </w:rPr>
              <w:t xml:space="preserve">y </w:t>
            </w:r>
          </w:p>
        </w:tc>
        <w:tc>
          <w:tcPr>
            <w:tcW w:w="523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4A90313" w14:textId="77777777" w:rsidR="00E71D67" w:rsidRDefault="00E71D67" w:rsidP="00E71D67">
            <w:pPr>
              <w:spacing w:after="0" w:line="259" w:lineRule="auto"/>
              <w:ind w:left="0" w:right="35" w:firstLine="0"/>
            </w:pPr>
            <w:r>
              <w:t xml:space="preserve">Despite revenue shortfalls, a positive Net Cash flow of $688K demonstrates disciplined cash management and sufficient liquidity. </w:t>
            </w:r>
          </w:p>
        </w:tc>
      </w:tr>
      <w:tr w:rsidR="00E71D67" w14:paraId="015BB7DB" w14:textId="77777777" w:rsidTr="00FA4E90">
        <w:trPr>
          <w:trHeight w:val="22"/>
        </w:trPr>
        <w:tc>
          <w:tcPr>
            <w:tcW w:w="3959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F4128B" w14:textId="77777777" w:rsidR="00E71D67" w:rsidRDefault="00E71D67" w:rsidP="00E71D67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Cash Cycle </w:t>
            </w:r>
          </w:p>
        </w:tc>
        <w:tc>
          <w:tcPr>
            <w:tcW w:w="523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E781F76" w14:textId="77777777" w:rsidR="00E71D67" w:rsidRDefault="00E71D67" w:rsidP="00E71D67">
            <w:pPr>
              <w:spacing w:after="0" w:line="259" w:lineRule="auto"/>
              <w:ind w:left="0" w:firstLine="0"/>
            </w:pPr>
            <w:r>
              <w:t xml:space="preserve">Average Receivables and Payables aging remain stable at approximately 30 days, indicating a balanced and sustainable cash conversion cycle. </w:t>
            </w:r>
          </w:p>
        </w:tc>
      </w:tr>
    </w:tbl>
    <w:p w14:paraId="62467EF0" w14:textId="2FAF71DD" w:rsidR="00A3036F" w:rsidRDefault="00000000" w:rsidP="00FA4E90">
      <w:pPr>
        <w:pStyle w:val="Heading1"/>
        <w:numPr>
          <w:ilvl w:val="0"/>
          <w:numId w:val="7"/>
        </w:numPr>
      </w:pPr>
      <w:r>
        <w:t>Root Cause Analysis &amp; Recommendations</w:t>
      </w:r>
    </w:p>
    <w:p w14:paraId="45809647" w14:textId="77777777" w:rsidR="00A3036F" w:rsidRDefault="00000000">
      <w:pPr>
        <w:ind w:left="0" w:firstLine="0"/>
      </w:pPr>
      <w:r>
        <w:rPr>
          <w:b/>
        </w:rPr>
        <w:t>Decomposition Tree Analysis:</w:t>
      </w:r>
      <w:r>
        <w:t xml:space="preserve"> The Profit Driver analysis highlights that </w:t>
      </w:r>
      <w:r>
        <w:rPr>
          <w:b/>
        </w:rPr>
        <w:t>Product C</w:t>
      </w:r>
      <w:r>
        <w:t xml:space="preserve"> is a primary revenue contributor, but regional performance disparities—specifically in the West and South—require targeted strategic intervention. </w:t>
      </w:r>
    </w:p>
    <w:p w14:paraId="7111FA81" w14:textId="3852DDC0" w:rsidR="00A3036F" w:rsidRDefault="00000000">
      <w:pPr>
        <w:spacing w:after="282"/>
        <w:ind w:left="0" w:firstLine="0"/>
      </w:pPr>
      <w:r>
        <w:rPr>
          <w:b/>
        </w:rPr>
        <w:t>Strategic Recommendation:</w:t>
      </w:r>
      <w:r>
        <w:t xml:space="preserve"> It is recommended to perform a market deep-dive into the South region to address the -27% variance. Additionally, resources should be shifted toward high-EBITDA products to maximize profitability during volume shortfalls. </w:t>
      </w:r>
    </w:p>
    <w:p w14:paraId="59C42976" w14:textId="2E179F3A" w:rsidR="00A3036F" w:rsidRDefault="00A3036F" w:rsidP="00E71D67">
      <w:pPr>
        <w:spacing w:after="204" w:line="259" w:lineRule="auto"/>
        <w:ind w:left="0" w:right="-61" w:firstLine="0"/>
      </w:pPr>
    </w:p>
    <w:p w14:paraId="557784C8" w14:textId="77777777" w:rsidR="00A3036F" w:rsidRDefault="00000000" w:rsidP="00FA4E90">
      <w:pPr>
        <w:pStyle w:val="Heading1"/>
        <w:numPr>
          <w:ilvl w:val="0"/>
          <w:numId w:val="7"/>
        </w:numPr>
      </w:pPr>
      <w:r>
        <w:t xml:space="preserve">Assumptions &amp; Methodology </w:t>
      </w:r>
    </w:p>
    <w:p w14:paraId="652DE297" w14:textId="77777777" w:rsidR="00A3036F" w:rsidRDefault="00000000">
      <w:pPr>
        <w:numPr>
          <w:ilvl w:val="0"/>
          <w:numId w:val="2"/>
        </w:numPr>
        <w:ind w:hanging="360"/>
      </w:pPr>
      <w:r>
        <w:t xml:space="preserve">The analysis covers the full fiscal year 2026 data processed in chronological order. </w:t>
      </w:r>
    </w:p>
    <w:p w14:paraId="2C5AB750" w14:textId="77777777" w:rsidR="00A3036F" w:rsidRDefault="00000000">
      <w:pPr>
        <w:numPr>
          <w:ilvl w:val="0"/>
          <w:numId w:val="2"/>
        </w:numPr>
        <w:ind w:hanging="360"/>
      </w:pPr>
      <w:r>
        <w:t xml:space="preserve">Null or missing values were excluded from average-based calculations to maintain statistical integrity. </w:t>
      </w:r>
    </w:p>
    <w:p w14:paraId="2F374697" w14:textId="77777777" w:rsidR="00A3036F" w:rsidRDefault="00000000">
      <w:pPr>
        <w:numPr>
          <w:ilvl w:val="0"/>
          <w:numId w:val="2"/>
        </w:numPr>
        <w:ind w:hanging="360"/>
      </w:pPr>
      <w:r>
        <w:t xml:space="preserve">Financial values are summarized in consistent units (e.g., Millions/Thousands) as per the source data. </w:t>
      </w:r>
    </w:p>
    <w:sectPr w:rsidR="00A3036F">
      <w:pgSz w:w="12240" w:h="15840"/>
      <w:pgMar w:top="1448" w:right="1561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18"/>
    <w:multiLevelType w:val="hybridMultilevel"/>
    <w:tmpl w:val="D668EA32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B985A90"/>
    <w:multiLevelType w:val="hybridMultilevel"/>
    <w:tmpl w:val="BCA453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3410B9"/>
    <w:multiLevelType w:val="hybridMultilevel"/>
    <w:tmpl w:val="7AFC9242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2425AC5"/>
    <w:multiLevelType w:val="hybridMultilevel"/>
    <w:tmpl w:val="1D3620B6"/>
    <w:lvl w:ilvl="0" w:tplc="5C86FB0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44800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73C80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0CE2D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D8A09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B0AE95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42634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CFAA05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86426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985174"/>
    <w:multiLevelType w:val="hybridMultilevel"/>
    <w:tmpl w:val="52F623AC"/>
    <w:lvl w:ilvl="0" w:tplc="4009000B">
      <w:start w:val="1"/>
      <w:numFmt w:val="bullet"/>
      <w:lvlText w:val=""/>
      <w:lvlJc w:val="left"/>
      <w:pPr>
        <w:ind w:left="585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386AF9"/>
    <w:multiLevelType w:val="hybridMultilevel"/>
    <w:tmpl w:val="5852B17A"/>
    <w:lvl w:ilvl="0" w:tplc="27CC045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88B34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72971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0C3AD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5A477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9C159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6C514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F0437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3265A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625FB2"/>
    <w:multiLevelType w:val="hybridMultilevel"/>
    <w:tmpl w:val="01FC97AC"/>
    <w:lvl w:ilvl="0" w:tplc="40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48593735"/>
    <w:multiLevelType w:val="hybridMultilevel"/>
    <w:tmpl w:val="81F8AB9A"/>
    <w:lvl w:ilvl="0" w:tplc="40090001">
      <w:start w:val="1"/>
      <w:numFmt w:val="bullet"/>
      <w:lvlText w:val=""/>
      <w:lvlJc w:val="left"/>
      <w:pPr>
        <w:ind w:left="58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0AE8C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C6531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72F89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48D91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C4F7E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665A4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02F4E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A59A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A649BB"/>
    <w:multiLevelType w:val="hybridMultilevel"/>
    <w:tmpl w:val="BF1632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573903">
    <w:abstractNumId w:val="7"/>
  </w:num>
  <w:num w:numId="2" w16cid:durableId="1189876199">
    <w:abstractNumId w:val="5"/>
  </w:num>
  <w:num w:numId="3" w16cid:durableId="1346906017">
    <w:abstractNumId w:val="3"/>
  </w:num>
  <w:num w:numId="4" w16cid:durableId="286397524">
    <w:abstractNumId w:val="4"/>
  </w:num>
  <w:num w:numId="5" w16cid:durableId="346491754">
    <w:abstractNumId w:val="1"/>
  </w:num>
  <w:num w:numId="6" w16cid:durableId="1208372817">
    <w:abstractNumId w:val="6"/>
  </w:num>
  <w:num w:numId="7" w16cid:durableId="1824808376">
    <w:abstractNumId w:val="2"/>
  </w:num>
  <w:num w:numId="8" w16cid:durableId="58335542">
    <w:abstractNumId w:val="8"/>
  </w:num>
  <w:num w:numId="9" w16cid:durableId="1988975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36F"/>
    <w:rsid w:val="000A2345"/>
    <w:rsid w:val="00A3036F"/>
    <w:rsid w:val="00AF567A"/>
    <w:rsid w:val="00E71D67"/>
    <w:rsid w:val="00FA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5DDA"/>
  <w15:docId w15:val="{B6D36CF2-598C-4B58-B250-72B4E2D1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13" w:lineRule="auto"/>
      <w:ind w:left="370" w:hanging="37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7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A2345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 - Financial Performance Analysis Report V2</vt:lpstr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- Financial Performance Analysis Report V2</dc:title>
  <dc:subject/>
  <dc:creator>komal chahal</dc:creator>
  <cp:keywords/>
  <cp:lastModifiedBy>komal chahal</cp:lastModifiedBy>
  <cp:revision>2</cp:revision>
  <dcterms:created xsi:type="dcterms:W3CDTF">2026-04-30T18:22:00Z</dcterms:created>
  <dcterms:modified xsi:type="dcterms:W3CDTF">2026-04-30T18:22:00Z</dcterms:modified>
</cp:coreProperties>
</file>